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9B160A" w14:textId="59EDF4E1" w:rsidR="00BE14C5" w:rsidRPr="009418B3" w:rsidRDefault="00FC3404" w:rsidP="00A67A87">
      <w:pPr>
        <w:spacing w:line="276" w:lineRule="auto"/>
        <w:jc w:val="both"/>
        <w:rPr>
          <w:rFonts w:cs="Arial"/>
          <w:color w:val="000000" w:themeColor="text1"/>
          <w:szCs w:val="22"/>
        </w:rPr>
      </w:pPr>
      <w:r w:rsidRPr="009418B3">
        <w:rPr>
          <w:rFonts w:eastAsiaTheme="majorEastAsia" w:cs="Arial"/>
          <w:b/>
          <w:bCs/>
          <w:color w:val="000000" w:themeColor="text1"/>
          <w:szCs w:val="22"/>
        </w:rPr>
        <w:t>ACTION MATRIX ON LEGISLATIONS, POLICIES AND REGULATIONS</w:t>
      </w:r>
    </w:p>
    <w:p w14:paraId="00A957ED" w14:textId="37A9BEDC" w:rsidR="00007C92" w:rsidRPr="009418B3" w:rsidRDefault="00FC3404" w:rsidP="00A67A87">
      <w:pPr>
        <w:spacing w:line="276" w:lineRule="auto"/>
        <w:jc w:val="both"/>
        <w:rPr>
          <w:rFonts w:cs="Arial"/>
          <w:b/>
          <w:bCs/>
          <w:color w:val="000000" w:themeColor="text1"/>
          <w:szCs w:val="22"/>
        </w:rPr>
      </w:pPr>
      <w:r w:rsidRPr="009418B3">
        <w:rPr>
          <w:rFonts w:cs="Arial"/>
          <w:color w:val="000000" w:themeColor="text1"/>
          <w:szCs w:val="22"/>
        </w:rPr>
        <w:t xml:space="preserve"> </w:t>
      </w:r>
      <w:r w:rsidRPr="009418B3">
        <w:rPr>
          <w:rFonts w:cs="Arial"/>
          <w:color w:val="000000" w:themeColor="text1"/>
          <w:szCs w:val="22"/>
        </w:rPr>
        <w:tab/>
      </w:r>
      <w:r w:rsidRPr="009418B3">
        <w:rPr>
          <w:rFonts w:cs="Arial"/>
          <w:color w:val="000000" w:themeColor="text1"/>
          <w:szCs w:val="22"/>
        </w:rPr>
        <w:tab/>
      </w:r>
      <w:r w:rsidRPr="009418B3">
        <w:rPr>
          <w:rFonts w:cs="Arial"/>
          <w:color w:val="000000" w:themeColor="text1"/>
          <w:szCs w:val="22"/>
        </w:rPr>
        <w:tab/>
      </w:r>
      <w:r w:rsidRPr="009418B3">
        <w:rPr>
          <w:rFonts w:cs="Arial"/>
          <w:color w:val="000000" w:themeColor="text1"/>
          <w:szCs w:val="22"/>
        </w:rPr>
        <w:tab/>
      </w:r>
      <w:r w:rsidRPr="009418B3">
        <w:rPr>
          <w:rFonts w:cs="Arial"/>
          <w:color w:val="000000" w:themeColor="text1"/>
          <w:szCs w:val="22"/>
        </w:rPr>
        <w:tab/>
      </w:r>
      <w:r w:rsidRPr="009418B3">
        <w:rPr>
          <w:rFonts w:cs="Arial"/>
          <w:color w:val="000000" w:themeColor="text1"/>
          <w:szCs w:val="22"/>
        </w:rPr>
        <w:tab/>
      </w:r>
      <w:r w:rsidRPr="009418B3">
        <w:rPr>
          <w:rFonts w:cs="Arial"/>
          <w:color w:val="000000" w:themeColor="text1"/>
          <w:szCs w:val="22"/>
        </w:rPr>
        <w:tab/>
      </w:r>
      <w:r w:rsidRPr="009418B3">
        <w:rPr>
          <w:rFonts w:cs="Arial"/>
          <w:color w:val="000000" w:themeColor="text1"/>
          <w:szCs w:val="22"/>
        </w:rPr>
        <w:tab/>
      </w:r>
      <w:r w:rsidRPr="009418B3">
        <w:rPr>
          <w:rFonts w:cs="Arial"/>
          <w:color w:val="000000" w:themeColor="text1"/>
          <w:szCs w:val="22"/>
        </w:rPr>
        <w:tab/>
      </w:r>
      <w:r w:rsidRPr="009418B3">
        <w:rPr>
          <w:rFonts w:cs="Arial"/>
          <w:color w:val="000000" w:themeColor="text1"/>
          <w:szCs w:val="22"/>
        </w:rPr>
        <w:tab/>
      </w:r>
      <w:r w:rsidRPr="009418B3">
        <w:rPr>
          <w:rFonts w:cs="Arial"/>
          <w:color w:val="000000" w:themeColor="text1"/>
          <w:szCs w:val="22"/>
        </w:rPr>
        <w:tab/>
      </w:r>
      <w:r w:rsidRPr="009418B3">
        <w:rPr>
          <w:rFonts w:cs="Arial"/>
          <w:color w:val="000000" w:themeColor="text1"/>
          <w:szCs w:val="22"/>
        </w:rPr>
        <w:tab/>
      </w:r>
      <w:r w:rsidRPr="009418B3">
        <w:rPr>
          <w:rFonts w:cs="Arial"/>
          <w:color w:val="000000" w:themeColor="text1"/>
          <w:szCs w:val="22"/>
        </w:rPr>
        <w:tab/>
      </w:r>
      <w:r w:rsidRPr="009418B3">
        <w:rPr>
          <w:rFonts w:cs="Arial"/>
          <w:color w:val="000000" w:themeColor="text1"/>
          <w:szCs w:val="22"/>
        </w:rPr>
        <w:tab/>
      </w:r>
      <w:r w:rsidRPr="009418B3">
        <w:rPr>
          <w:rFonts w:cs="Arial"/>
          <w:color w:val="000000" w:themeColor="text1"/>
          <w:szCs w:val="22"/>
        </w:rPr>
        <w:tab/>
      </w:r>
      <w:r w:rsidRPr="009418B3">
        <w:rPr>
          <w:rFonts w:cs="Arial"/>
          <w:color w:val="000000" w:themeColor="text1"/>
          <w:szCs w:val="22"/>
        </w:rPr>
        <w:tab/>
      </w:r>
      <w:r w:rsidR="004B0871" w:rsidRPr="009418B3">
        <w:rPr>
          <w:rFonts w:cs="Arial"/>
          <w:color w:val="000000" w:themeColor="text1"/>
          <w:szCs w:val="22"/>
        </w:rPr>
        <w:t xml:space="preserve">              </w:t>
      </w:r>
      <w:r w:rsidR="006E511D">
        <w:rPr>
          <w:rFonts w:cs="Arial"/>
          <w:b/>
          <w:bCs/>
          <w:color w:val="000000" w:themeColor="text1"/>
          <w:szCs w:val="22"/>
        </w:rPr>
        <w:t>MAY</w:t>
      </w:r>
      <w:r w:rsidR="004B0871" w:rsidRPr="009418B3">
        <w:rPr>
          <w:rFonts w:cs="Arial"/>
          <w:b/>
          <w:bCs/>
          <w:color w:val="000000" w:themeColor="text1"/>
          <w:szCs w:val="22"/>
        </w:rPr>
        <w:t xml:space="preserve"> 2020</w:t>
      </w:r>
    </w:p>
    <w:p w14:paraId="7B9ECDD9" w14:textId="15967D1D" w:rsidR="00007C92" w:rsidRPr="009418B3" w:rsidRDefault="00886A5E" w:rsidP="00A67A87">
      <w:pPr>
        <w:spacing w:line="276" w:lineRule="auto"/>
        <w:jc w:val="both"/>
        <w:rPr>
          <w:rFonts w:cs="Arial"/>
          <w:color w:val="000000" w:themeColor="text1"/>
          <w:szCs w:val="22"/>
        </w:rPr>
      </w:pPr>
      <w:r w:rsidRPr="009418B3">
        <w:rPr>
          <w:rFonts w:cs="Arial"/>
          <w:noProof/>
          <w:color w:val="000000" w:themeColor="text1"/>
          <w:szCs w:val="22"/>
          <w:lang w:val="en-ZA" w:eastAsia="en-ZA"/>
        </w:rPr>
        <mc:AlternateContent>
          <mc:Choice Requires="wps">
            <w:drawing>
              <wp:anchor distT="0" distB="0" distL="114300" distR="114300" simplePos="0" relativeHeight="251659264" behindDoc="0" locked="0" layoutInCell="1" allowOverlap="1" wp14:anchorId="3BFB3C15" wp14:editId="587C45BF">
                <wp:simplePos x="0" y="0"/>
                <wp:positionH relativeFrom="column">
                  <wp:posOffset>-245110</wp:posOffset>
                </wp:positionH>
                <wp:positionV relativeFrom="paragraph">
                  <wp:posOffset>177800</wp:posOffset>
                </wp:positionV>
                <wp:extent cx="9186545" cy="459740"/>
                <wp:effectExtent l="0" t="0" r="0" b="0"/>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86545" cy="459740"/>
                        </a:xfrm>
                        <a:prstGeom prst="rect">
                          <a:avLst/>
                        </a:prstGeom>
                        <a:solidFill>
                          <a:srgbClr val="93A63A"/>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C93ED57" w14:textId="7D9A2A47" w:rsidR="00B06C85" w:rsidRPr="00482546" w:rsidRDefault="006E511D" w:rsidP="00482546">
                            <w:pPr>
                              <w:pStyle w:val="Heading2"/>
                            </w:pPr>
                            <w:r>
                              <w:t xml:space="preserve">Revised </w:t>
                            </w:r>
                            <w:r w:rsidR="00E26C5F" w:rsidRPr="00E26C5F">
                              <w:t>DRAFT DISASTER MANAGEMENT TAX RELIEF ADMINISTRATION BILL</w:t>
                            </w:r>
                            <w:r w:rsidR="00C25809">
                              <w:t>, 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FB3C15" id="_x0000_t202" coordsize="21600,21600" o:spt="202" path="m,l,21600r21600,l21600,xe">
                <v:stroke joinstyle="miter"/>
                <v:path gradientshapeok="t" o:connecttype="rect"/>
              </v:shapetype>
              <v:shape id="Text Box 23" o:spid="_x0000_s1026" type="#_x0000_t202" style="position:absolute;left:0;text-align:left;margin-left:-19.3pt;margin-top:14pt;width:723.35pt;height:3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" fillcolor="#93a63a" stroked="f">
                <v:textbox>
                  <w:txbxContent>
                    <w:p w14:paraId="7C93ED57" w14:textId="7D9A2A47" w:rsidR="00B06C85" w:rsidRPr="00482546" w:rsidRDefault="006E511D" w:rsidP="00482546">
                      <w:pPr>
                        <w:pStyle w:val="Heading2"/>
                      </w:pPr>
                      <w:r>
                        <w:t xml:space="preserve">Revised </w:t>
                      </w:r>
                      <w:r w:rsidR="00E26C5F" w:rsidRPr="00E26C5F">
                        <w:t>DRAFT DISASTER MANAGEMENT TAX RELIEF ADMINISTRATION BILL</w:t>
                      </w:r>
                      <w:r w:rsidR="00C25809">
                        <w:t>, 2020</w:t>
                      </w:r>
                    </w:p>
                  </w:txbxContent>
                </v:textbox>
                <w10:wrap type="square"/>
              </v:shape>
            </w:pict>
          </mc:Fallback>
        </mc:AlternateContent>
      </w:r>
    </w:p>
    <w:p w14:paraId="0F181E7D" w14:textId="078088B9" w:rsidR="009C0499" w:rsidRPr="006E511D" w:rsidRDefault="00FF5E5C" w:rsidP="006E511D">
      <w:pPr>
        <w:spacing w:line="276" w:lineRule="auto"/>
        <w:jc w:val="both"/>
        <w:rPr>
          <w:rFonts w:cs="Arial"/>
          <w:bCs/>
          <w:color w:val="000000" w:themeColor="text1"/>
          <w:szCs w:val="22"/>
        </w:rPr>
      </w:pPr>
      <w:r w:rsidRPr="009418B3">
        <w:rPr>
          <w:rFonts w:cs="Arial"/>
          <w:bCs/>
          <w:color w:val="000000" w:themeColor="text1"/>
          <w:szCs w:val="22"/>
        </w:rPr>
        <w:t xml:space="preserve"> </w:t>
      </w:r>
    </w:p>
    <w:p w14:paraId="50596A8E" w14:textId="731E8CC4" w:rsidR="00141DA5" w:rsidRPr="00141DA5" w:rsidRDefault="00141DA5" w:rsidP="00141DA5">
      <w:pPr>
        <w:autoSpaceDE w:val="0"/>
        <w:autoSpaceDN w:val="0"/>
        <w:adjustRightInd w:val="0"/>
        <w:jc w:val="center"/>
        <w:rPr>
          <w:rFonts w:cs="Arial"/>
          <w:color w:val="000000"/>
          <w:sz w:val="28"/>
          <w:szCs w:val="28"/>
          <w:lang w:val="en-ZA" w:eastAsia="en-GB"/>
        </w:rPr>
      </w:pPr>
      <w:r w:rsidRPr="00141DA5">
        <w:rPr>
          <w:rFonts w:cs="Arial"/>
          <w:b/>
          <w:bCs/>
          <w:color w:val="000000"/>
          <w:sz w:val="28"/>
          <w:szCs w:val="28"/>
          <w:lang w:val="en-ZA" w:eastAsia="en-GB"/>
        </w:rPr>
        <w:t>DRAFT</w:t>
      </w:r>
    </w:p>
    <w:p w14:paraId="1159AB98" w14:textId="6B3BE073" w:rsidR="00141DA5" w:rsidRPr="00141DA5" w:rsidRDefault="00141DA5" w:rsidP="00141DA5">
      <w:pPr>
        <w:autoSpaceDE w:val="0"/>
        <w:autoSpaceDN w:val="0"/>
        <w:adjustRightInd w:val="0"/>
        <w:jc w:val="center"/>
        <w:rPr>
          <w:rFonts w:ascii="Calibri" w:hAnsi="Calibri" w:cs="Calibri"/>
          <w:color w:val="auto"/>
          <w:szCs w:val="22"/>
          <w:lang w:val="en-ZA" w:eastAsia="en-GB"/>
        </w:rPr>
      </w:pPr>
    </w:p>
    <w:p w14:paraId="3818B02C" w14:textId="760B381B" w:rsidR="00141DA5" w:rsidRPr="00141DA5" w:rsidRDefault="00141DA5" w:rsidP="00141DA5">
      <w:pPr>
        <w:autoSpaceDE w:val="0"/>
        <w:autoSpaceDN w:val="0"/>
        <w:adjustRightInd w:val="0"/>
        <w:jc w:val="center"/>
        <w:rPr>
          <w:rFonts w:cs="Arial"/>
          <w:color w:val="auto"/>
          <w:sz w:val="23"/>
          <w:szCs w:val="23"/>
          <w:lang w:val="en-ZA" w:eastAsia="en-GB"/>
        </w:rPr>
      </w:pPr>
      <w:r w:rsidRPr="00141DA5">
        <w:rPr>
          <w:rFonts w:cs="Arial"/>
          <w:b/>
          <w:bCs/>
          <w:color w:val="auto"/>
          <w:sz w:val="23"/>
          <w:szCs w:val="23"/>
          <w:lang w:val="en-ZA" w:eastAsia="en-GB"/>
        </w:rPr>
        <w:t>BILL</w:t>
      </w:r>
    </w:p>
    <w:p w14:paraId="262B6C8A" w14:textId="27745C38" w:rsidR="00141DA5" w:rsidRDefault="00141DA5" w:rsidP="00141DA5">
      <w:pPr>
        <w:autoSpaceDE w:val="0"/>
        <w:autoSpaceDN w:val="0"/>
        <w:adjustRightInd w:val="0"/>
        <w:rPr>
          <w:rFonts w:cs="Arial"/>
          <w:b/>
          <w:bCs/>
          <w:color w:val="auto"/>
          <w:sz w:val="23"/>
          <w:szCs w:val="23"/>
          <w:lang w:val="en-ZA" w:eastAsia="en-GB"/>
        </w:rPr>
      </w:pPr>
      <w:r w:rsidRPr="00141DA5">
        <w:rPr>
          <w:rFonts w:cs="Arial"/>
          <w:b/>
          <w:bCs/>
          <w:color w:val="auto"/>
          <w:sz w:val="23"/>
          <w:szCs w:val="23"/>
          <w:lang w:val="en-ZA" w:eastAsia="en-GB"/>
        </w:rPr>
        <w:t xml:space="preserve">To provide for tax measures in order to assist with alleviating cash flow burdens on tax compliant micro and small to medium sized businesses arising as a result of the COVID-19 pandemic and measures taken under the Disaster Management Act, 2002; to provide for the employees’ tax treatment of donations to the Solidarity Fund; to provide for a change in the value-added tax category of vendors to effect monthly returns and refunds and to provide for matters connected therewith. </w:t>
      </w:r>
    </w:p>
    <w:p w14:paraId="3602A64A" w14:textId="77777777" w:rsidR="00141DA5" w:rsidRPr="00141DA5" w:rsidRDefault="00141DA5" w:rsidP="00141DA5">
      <w:pPr>
        <w:autoSpaceDE w:val="0"/>
        <w:autoSpaceDN w:val="0"/>
        <w:adjustRightInd w:val="0"/>
        <w:rPr>
          <w:rFonts w:cs="Arial"/>
          <w:color w:val="auto"/>
          <w:sz w:val="23"/>
          <w:szCs w:val="23"/>
          <w:lang w:val="en-ZA" w:eastAsia="en-GB"/>
        </w:rPr>
      </w:pPr>
    </w:p>
    <w:p w14:paraId="56109222" w14:textId="6AEFBAD4" w:rsidR="00785D35" w:rsidRPr="00785D35" w:rsidRDefault="00141DA5" w:rsidP="00141DA5">
      <w:pPr>
        <w:autoSpaceDE w:val="0"/>
        <w:autoSpaceDN w:val="0"/>
        <w:adjustRightInd w:val="0"/>
        <w:rPr>
          <w:rFonts w:ascii="Times New Roman" w:hAnsi="Times New Roman"/>
          <w:color w:val="000000"/>
          <w:sz w:val="48"/>
          <w:szCs w:val="48"/>
          <w:lang w:val="en-ZA" w:eastAsia="en-GB"/>
        </w:rPr>
      </w:pPr>
      <w:r w:rsidRPr="00141DA5">
        <w:rPr>
          <w:rFonts w:cs="Arial"/>
          <w:b/>
          <w:bCs/>
          <w:color w:val="auto"/>
          <w:sz w:val="23"/>
          <w:szCs w:val="23"/>
          <w:lang w:val="en-ZA" w:eastAsia="en-GB"/>
        </w:rPr>
        <w:t xml:space="preserve">BE IT ENACTED </w:t>
      </w:r>
      <w:r w:rsidRPr="00141DA5">
        <w:rPr>
          <w:rFonts w:cs="Arial"/>
          <w:color w:val="auto"/>
          <w:sz w:val="23"/>
          <w:szCs w:val="23"/>
          <w:lang w:val="en-ZA" w:eastAsia="en-GB"/>
        </w:rPr>
        <w:t xml:space="preserve">by the Parliament of the Republic of South Africa, as </w:t>
      </w:r>
      <w:proofErr w:type="gramStart"/>
      <w:r w:rsidRPr="00141DA5">
        <w:rPr>
          <w:rFonts w:cs="Arial"/>
          <w:color w:val="auto"/>
          <w:sz w:val="23"/>
          <w:szCs w:val="23"/>
          <w:lang w:val="en-ZA" w:eastAsia="en-GB"/>
        </w:rPr>
        <w:t>follows:—</w:t>
      </w:r>
      <w:proofErr w:type="gramEnd"/>
    </w:p>
    <w:p w14:paraId="52653110" w14:textId="77777777" w:rsidR="009C0499" w:rsidRPr="009418B3" w:rsidRDefault="009C0499" w:rsidP="003A0027">
      <w:pPr>
        <w:pStyle w:val="Default"/>
        <w:jc w:val="center"/>
        <w:rPr>
          <w:sz w:val="22"/>
          <w:szCs w:val="22"/>
        </w:rPr>
      </w:pPr>
    </w:p>
    <w:p w14:paraId="187480C2" w14:textId="77777777" w:rsidR="00715338" w:rsidRPr="009418B3" w:rsidRDefault="00715338" w:rsidP="00715338">
      <w:pPr>
        <w:spacing w:line="276" w:lineRule="auto"/>
        <w:jc w:val="both"/>
        <w:rPr>
          <w:rFonts w:cs="Arial"/>
          <w:bCs/>
          <w:color w:val="000000" w:themeColor="text1"/>
          <w:szCs w:val="22"/>
          <w:lang w:val="en-ZA"/>
        </w:rPr>
      </w:pPr>
    </w:p>
    <w:tbl>
      <w:tblPr>
        <w:tblStyle w:val="TableGrid"/>
        <w:tblW w:w="0" w:type="auto"/>
        <w:tblLook w:val="04A0" w:firstRow="1" w:lastRow="0" w:firstColumn="1" w:lastColumn="0" w:noHBand="0" w:noVBand="1"/>
      </w:tblPr>
      <w:tblGrid>
        <w:gridCol w:w="6429"/>
        <w:gridCol w:w="4146"/>
        <w:gridCol w:w="3533"/>
      </w:tblGrid>
      <w:tr w:rsidR="00E26C5F" w:rsidRPr="00C25809" w14:paraId="6920C934" w14:textId="77777777" w:rsidTr="00E26C5F">
        <w:trPr>
          <w:trHeight w:val="567"/>
          <w:tblHeader/>
        </w:trPr>
        <w:tc>
          <w:tcPr>
            <w:tcW w:w="6429" w:type="dxa"/>
            <w:shd w:val="clear" w:color="auto" w:fill="A8D08D" w:themeFill="accent6" w:themeFillTint="99"/>
            <w:vAlign w:val="center"/>
          </w:tcPr>
          <w:p w14:paraId="4E221A4A" w14:textId="2778BCEC" w:rsidR="00E26C5F" w:rsidRPr="00C25809" w:rsidRDefault="00865DD8" w:rsidP="00E26C5F">
            <w:pPr>
              <w:spacing w:line="276" w:lineRule="auto"/>
              <w:jc w:val="both"/>
              <w:rPr>
                <w:rFonts w:cs="Arial"/>
                <w:b/>
                <w:color w:val="000000" w:themeColor="text1"/>
                <w:szCs w:val="22"/>
              </w:rPr>
            </w:pPr>
            <w:r w:rsidRPr="00865DD8">
              <w:rPr>
                <w:rFonts w:cs="Arial"/>
                <w:b/>
                <w:color w:val="000000" w:themeColor="text1"/>
                <w:szCs w:val="22"/>
              </w:rPr>
              <w:t>Draft Disaster Management Tax Relief Administration Bill, 2020</w:t>
            </w:r>
          </w:p>
        </w:tc>
        <w:tc>
          <w:tcPr>
            <w:tcW w:w="4146" w:type="dxa"/>
            <w:shd w:val="clear" w:color="auto" w:fill="A8D08D" w:themeFill="accent6" w:themeFillTint="99"/>
            <w:vAlign w:val="center"/>
          </w:tcPr>
          <w:p w14:paraId="0D57614D" w14:textId="5A622045" w:rsidR="00E26C5F" w:rsidRPr="00C25809" w:rsidRDefault="00E26C5F" w:rsidP="00E26C5F">
            <w:pPr>
              <w:spacing w:line="276" w:lineRule="auto"/>
              <w:jc w:val="both"/>
              <w:rPr>
                <w:rFonts w:cs="Arial"/>
                <w:b/>
                <w:color w:val="000000" w:themeColor="text1"/>
                <w:szCs w:val="22"/>
              </w:rPr>
            </w:pPr>
            <w:r w:rsidRPr="00C25809">
              <w:rPr>
                <w:rFonts w:cs="Arial"/>
                <w:b/>
                <w:color w:val="000000" w:themeColor="text1"/>
                <w:szCs w:val="22"/>
              </w:rPr>
              <w:t>Member Position</w:t>
            </w:r>
          </w:p>
        </w:tc>
        <w:tc>
          <w:tcPr>
            <w:tcW w:w="3533" w:type="dxa"/>
            <w:shd w:val="clear" w:color="auto" w:fill="A8D08D" w:themeFill="accent6" w:themeFillTint="99"/>
            <w:vAlign w:val="center"/>
          </w:tcPr>
          <w:p w14:paraId="6C3C8755" w14:textId="017CDFD2" w:rsidR="00E26C5F" w:rsidRPr="00C25809" w:rsidRDefault="00E26C5F" w:rsidP="00E26C5F">
            <w:pPr>
              <w:spacing w:line="276" w:lineRule="auto"/>
              <w:jc w:val="both"/>
              <w:rPr>
                <w:rFonts w:cs="Arial"/>
                <w:b/>
                <w:color w:val="000000" w:themeColor="text1"/>
                <w:szCs w:val="22"/>
              </w:rPr>
            </w:pPr>
            <w:r w:rsidRPr="00C25809">
              <w:rPr>
                <w:rFonts w:cs="Arial"/>
                <w:b/>
                <w:color w:val="000000" w:themeColor="text1"/>
                <w:szCs w:val="22"/>
              </w:rPr>
              <w:t>Consolidated summary</w:t>
            </w:r>
          </w:p>
        </w:tc>
      </w:tr>
      <w:tr w:rsidR="00E26C5F" w:rsidRPr="00C25809" w14:paraId="5AF3B448" w14:textId="77777777" w:rsidTr="00E26C5F">
        <w:trPr>
          <w:trHeight w:val="340"/>
        </w:trPr>
        <w:tc>
          <w:tcPr>
            <w:tcW w:w="14108" w:type="dxa"/>
            <w:gridSpan w:val="3"/>
            <w:shd w:val="clear" w:color="auto" w:fill="E2EFD9" w:themeFill="accent6" w:themeFillTint="33"/>
            <w:vAlign w:val="center"/>
          </w:tcPr>
          <w:p w14:paraId="08846A6E" w14:textId="7B1B33E5" w:rsidR="00E26C5F" w:rsidRPr="00C25809" w:rsidRDefault="006B0624" w:rsidP="00E26C5F">
            <w:pPr>
              <w:spacing w:line="0" w:lineRule="atLeast"/>
              <w:rPr>
                <w:rFonts w:eastAsia="Arial" w:cs="Arial"/>
                <w:b/>
                <w:color w:val="000000" w:themeColor="text1"/>
                <w:szCs w:val="22"/>
              </w:rPr>
            </w:pPr>
            <w:r>
              <w:rPr>
                <w:b/>
                <w:bCs/>
                <w:sz w:val="23"/>
                <w:szCs w:val="23"/>
              </w:rPr>
              <w:t>Definitions</w:t>
            </w:r>
          </w:p>
        </w:tc>
      </w:tr>
      <w:tr w:rsidR="00E26C5F" w:rsidRPr="00C25809" w14:paraId="4F8C3328" w14:textId="77777777" w:rsidTr="00E26C5F">
        <w:trPr>
          <w:trHeight w:val="340"/>
        </w:trPr>
        <w:tc>
          <w:tcPr>
            <w:tcW w:w="6429" w:type="dxa"/>
            <w:vAlign w:val="center"/>
          </w:tcPr>
          <w:p w14:paraId="52582272" w14:textId="6116B73E" w:rsidR="00E26C5F" w:rsidRPr="00C25809" w:rsidRDefault="006B0624" w:rsidP="00E26C5F">
            <w:pPr>
              <w:autoSpaceDE w:val="0"/>
              <w:autoSpaceDN w:val="0"/>
              <w:adjustRightInd w:val="0"/>
              <w:spacing w:line="276" w:lineRule="auto"/>
              <w:jc w:val="both"/>
              <w:rPr>
                <w:rFonts w:cs="Arial"/>
                <w:color w:val="000000" w:themeColor="text1"/>
                <w:szCs w:val="22"/>
                <w:lang w:val="en-ZA" w:eastAsia="en-GB"/>
              </w:rPr>
            </w:pPr>
            <w:r>
              <w:rPr>
                <w:b/>
                <w:bCs/>
                <w:sz w:val="23"/>
                <w:szCs w:val="23"/>
              </w:rPr>
              <w:t xml:space="preserve">1. </w:t>
            </w:r>
            <w:r>
              <w:rPr>
                <w:sz w:val="23"/>
                <w:szCs w:val="23"/>
              </w:rPr>
              <w:t>In this Act, unless the context indicates otherwise, a term which is assigned a meaning in a “tax Act”, as defined in section 1 of the Tax Administration Act, 2011 (Act No. 28 of 2011) or the Customs and Excise Act, 1964 (Act No. 91 of 1964), has the meaning so assigned, and the following terms have the following meaning:</w:t>
            </w:r>
          </w:p>
        </w:tc>
        <w:tc>
          <w:tcPr>
            <w:tcW w:w="4146" w:type="dxa"/>
            <w:vAlign w:val="center"/>
          </w:tcPr>
          <w:p w14:paraId="1A2E45A9" w14:textId="77777777" w:rsidR="00E26C5F" w:rsidRPr="00C25809" w:rsidRDefault="00E26C5F" w:rsidP="00E26C5F">
            <w:pPr>
              <w:spacing w:line="276" w:lineRule="auto"/>
              <w:jc w:val="both"/>
              <w:rPr>
                <w:rFonts w:cs="Arial"/>
                <w:color w:val="000000" w:themeColor="text1"/>
                <w:szCs w:val="22"/>
              </w:rPr>
            </w:pPr>
          </w:p>
        </w:tc>
        <w:tc>
          <w:tcPr>
            <w:tcW w:w="3533" w:type="dxa"/>
            <w:vAlign w:val="center"/>
          </w:tcPr>
          <w:p w14:paraId="7C331A7D" w14:textId="77777777" w:rsidR="00E26C5F" w:rsidRPr="00C25809" w:rsidRDefault="00E26C5F" w:rsidP="00E26C5F">
            <w:pPr>
              <w:spacing w:line="276" w:lineRule="auto"/>
              <w:jc w:val="both"/>
              <w:rPr>
                <w:rFonts w:cs="Arial"/>
                <w:color w:val="000000" w:themeColor="text1"/>
                <w:szCs w:val="22"/>
              </w:rPr>
            </w:pPr>
          </w:p>
        </w:tc>
      </w:tr>
      <w:tr w:rsidR="00E26C5F" w:rsidRPr="00C25809" w14:paraId="47C85385" w14:textId="77777777" w:rsidTr="00E26C5F">
        <w:trPr>
          <w:trHeight w:val="340"/>
        </w:trPr>
        <w:tc>
          <w:tcPr>
            <w:tcW w:w="6429" w:type="dxa"/>
            <w:vAlign w:val="center"/>
          </w:tcPr>
          <w:p w14:paraId="1EE69F63" w14:textId="2EC1CF00" w:rsidR="00E26C5F" w:rsidRPr="00C25809" w:rsidRDefault="006B0624" w:rsidP="00E26C5F">
            <w:pPr>
              <w:spacing w:line="0" w:lineRule="atLeast"/>
              <w:rPr>
                <w:rFonts w:eastAsia="Arial" w:cs="Arial"/>
                <w:color w:val="000000" w:themeColor="text1"/>
                <w:szCs w:val="22"/>
              </w:rPr>
            </w:pPr>
            <w:r>
              <w:rPr>
                <w:b/>
                <w:bCs/>
                <w:sz w:val="23"/>
                <w:szCs w:val="23"/>
              </w:rPr>
              <w:t xml:space="preserve">“national lockdown” </w:t>
            </w:r>
            <w:r>
              <w:rPr>
                <w:sz w:val="23"/>
                <w:szCs w:val="23"/>
              </w:rPr>
              <w:t xml:space="preserve">is the period of national lockdown as determined by regulations made under the Disaster Management Act, 2002 (Act No. 57 of 2002), by the Cabinet </w:t>
            </w:r>
            <w:r>
              <w:rPr>
                <w:sz w:val="23"/>
                <w:szCs w:val="23"/>
              </w:rPr>
              <w:lastRenderedPageBreak/>
              <w:t>member designated under section 3 of that Act, starting on 26 March at 23H59 and ending on 30 April 2020 at 23H59;</w:t>
            </w:r>
          </w:p>
        </w:tc>
        <w:tc>
          <w:tcPr>
            <w:tcW w:w="4146" w:type="dxa"/>
            <w:vAlign w:val="center"/>
          </w:tcPr>
          <w:p w14:paraId="107D52AA" w14:textId="77777777" w:rsidR="00E26C5F" w:rsidRPr="00C25809" w:rsidRDefault="00E26C5F" w:rsidP="00E26C5F">
            <w:pPr>
              <w:spacing w:line="276" w:lineRule="auto"/>
              <w:jc w:val="both"/>
              <w:rPr>
                <w:rFonts w:cs="Arial"/>
                <w:color w:val="000000" w:themeColor="text1"/>
                <w:szCs w:val="22"/>
              </w:rPr>
            </w:pPr>
          </w:p>
        </w:tc>
        <w:tc>
          <w:tcPr>
            <w:tcW w:w="3533" w:type="dxa"/>
            <w:vAlign w:val="center"/>
          </w:tcPr>
          <w:p w14:paraId="32D8F1FD" w14:textId="77777777" w:rsidR="00E26C5F" w:rsidRPr="00C25809" w:rsidRDefault="00E26C5F" w:rsidP="00E26C5F">
            <w:pPr>
              <w:spacing w:line="276" w:lineRule="auto"/>
              <w:jc w:val="both"/>
              <w:rPr>
                <w:rFonts w:cs="Arial"/>
                <w:color w:val="000000" w:themeColor="text1"/>
                <w:szCs w:val="22"/>
              </w:rPr>
            </w:pPr>
          </w:p>
        </w:tc>
      </w:tr>
      <w:tr w:rsidR="00E26C5F" w:rsidRPr="00C25809" w14:paraId="75A796C2" w14:textId="77777777" w:rsidTr="00E26C5F">
        <w:trPr>
          <w:trHeight w:val="340"/>
        </w:trPr>
        <w:tc>
          <w:tcPr>
            <w:tcW w:w="6429" w:type="dxa"/>
            <w:vAlign w:val="center"/>
          </w:tcPr>
          <w:p w14:paraId="2869D295" w14:textId="46BD3893" w:rsidR="00E26C5F" w:rsidRPr="00C25809" w:rsidRDefault="006B0624" w:rsidP="00E26C5F">
            <w:pPr>
              <w:tabs>
                <w:tab w:val="left" w:pos="1133"/>
              </w:tabs>
              <w:spacing w:line="276" w:lineRule="auto"/>
              <w:ind w:right="6"/>
              <w:jc w:val="both"/>
              <w:rPr>
                <w:rFonts w:eastAsia="Arial" w:cs="Arial"/>
                <w:iCs/>
                <w:color w:val="000000" w:themeColor="text1"/>
                <w:szCs w:val="22"/>
              </w:rPr>
            </w:pPr>
            <w:r>
              <w:rPr>
                <w:b/>
                <w:bCs/>
                <w:sz w:val="23"/>
                <w:szCs w:val="23"/>
              </w:rPr>
              <w:t xml:space="preserve">“qualifying micro business” </w:t>
            </w:r>
            <w:r>
              <w:rPr>
                <w:sz w:val="23"/>
                <w:szCs w:val="23"/>
              </w:rPr>
              <w:t>is a micro business as defined in the Sixth Schedule to the Income Tax Act that—</w:t>
            </w:r>
          </w:p>
        </w:tc>
        <w:tc>
          <w:tcPr>
            <w:tcW w:w="4146" w:type="dxa"/>
            <w:vAlign w:val="center"/>
          </w:tcPr>
          <w:p w14:paraId="7EC05B1E" w14:textId="77777777" w:rsidR="00E26C5F" w:rsidRPr="00C25809" w:rsidRDefault="00E26C5F" w:rsidP="00E26C5F">
            <w:pPr>
              <w:spacing w:line="276" w:lineRule="auto"/>
              <w:jc w:val="both"/>
              <w:rPr>
                <w:rFonts w:cs="Arial"/>
                <w:color w:val="000000" w:themeColor="text1"/>
                <w:szCs w:val="22"/>
              </w:rPr>
            </w:pPr>
          </w:p>
        </w:tc>
        <w:tc>
          <w:tcPr>
            <w:tcW w:w="3533" w:type="dxa"/>
            <w:vAlign w:val="center"/>
          </w:tcPr>
          <w:p w14:paraId="3474888F" w14:textId="77777777" w:rsidR="00E26C5F" w:rsidRPr="00C25809" w:rsidRDefault="00E26C5F" w:rsidP="00E26C5F">
            <w:pPr>
              <w:spacing w:line="276" w:lineRule="auto"/>
              <w:jc w:val="both"/>
              <w:rPr>
                <w:rFonts w:cs="Arial"/>
                <w:color w:val="000000" w:themeColor="text1"/>
                <w:szCs w:val="22"/>
              </w:rPr>
            </w:pPr>
          </w:p>
        </w:tc>
      </w:tr>
      <w:tr w:rsidR="00E26C5F" w:rsidRPr="00C25809" w14:paraId="6D8197A0" w14:textId="77777777" w:rsidTr="00E26C5F">
        <w:trPr>
          <w:trHeight w:val="340"/>
        </w:trPr>
        <w:tc>
          <w:tcPr>
            <w:tcW w:w="6429" w:type="dxa"/>
            <w:vAlign w:val="center"/>
          </w:tcPr>
          <w:p w14:paraId="6766FA1D" w14:textId="4F726E3F" w:rsidR="00E26C5F" w:rsidRPr="00BF05CC" w:rsidRDefault="00BF05CC" w:rsidP="00BF05CC">
            <w:pPr>
              <w:pStyle w:val="Default"/>
              <w:rPr>
                <w:sz w:val="23"/>
                <w:szCs w:val="23"/>
              </w:rPr>
            </w:pPr>
            <w:r>
              <w:rPr>
                <w:i/>
                <w:iCs/>
                <w:sz w:val="23"/>
                <w:szCs w:val="23"/>
              </w:rPr>
              <w:t xml:space="preserve">(a) </w:t>
            </w:r>
            <w:r>
              <w:rPr>
                <w:sz w:val="23"/>
                <w:szCs w:val="23"/>
              </w:rPr>
              <w:t xml:space="preserve">is a taxpayer as defined in section 151 of the Tax Administration Act; and </w:t>
            </w:r>
          </w:p>
        </w:tc>
        <w:tc>
          <w:tcPr>
            <w:tcW w:w="4146" w:type="dxa"/>
            <w:vAlign w:val="center"/>
          </w:tcPr>
          <w:p w14:paraId="7496112F" w14:textId="77777777" w:rsidR="00E26C5F" w:rsidRPr="00C25809" w:rsidRDefault="00E26C5F" w:rsidP="00E26C5F">
            <w:pPr>
              <w:spacing w:line="276" w:lineRule="auto"/>
              <w:jc w:val="both"/>
              <w:rPr>
                <w:rFonts w:cs="Arial"/>
                <w:color w:val="000000" w:themeColor="text1"/>
                <w:szCs w:val="22"/>
              </w:rPr>
            </w:pPr>
          </w:p>
        </w:tc>
        <w:tc>
          <w:tcPr>
            <w:tcW w:w="3533" w:type="dxa"/>
            <w:vAlign w:val="center"/>
          </w:tcPr>
          <w:p w14:paraId="3C1E326F" w14:textId="77777777" w:rsidR="00E26C5F" w:rsidRPr="00C25809" w:rsidRDefault="00E26C5F" w:rsidP="00E26C5F">
            <w:pPr>
              <w:spacing w:line="276" w:lineRule="auto"/>
              <w:jc w:val="both"/>
              <w:rPr>
                <w:rFonts w:cs="Arial"/>
                <w:color w:val="000000" w:themeColor="text1"/>
                <w:szCs w:val="22"/>
              </w:rPr>
            </w:pPr>
          </w:p>
        </w:tc>
      </w:tr>
      <w:tr w:rsidR="006B0624" w:rsidRPr="00C25809" w14:paraId="4F9BA3D5" w14:textId="77777777" w:rsidTr="00E26C5F">
        <w:trPr>
          <w:trHeight w:val="340"/>
        </w:trPr>
        <w:tc>
          <w:tcPr>
            <w:tcW w:w="6429" w:type="dxa"/>
            <w:vAlign w:val="center"/>
          </w:tcPr>
          <w:p w14:paraId="36AAED48" w14:textId="3C1860B5" w:rsidR="006B0624" w:rsidRPr="00D83C32" w:rsidRDefault="00D83C32" w:rsidP="00D83C32">
            <w:pPr>
              <w:pStyle w:val="Default"/>
              <w:rPr>
                <w:sz w:val="23"/>
                <w:szCs w:val="23"/>
              </w:rPr>
            </w:pPr>
            <w:r>
              <w:rPr>
                <w:i/>
                <w:iCs/>
                <w:sz w:val="23"/>
                <w:szCs w:val="23"/>
              </w:rPr>
              <w:t xml:space="preserve">(b) </w:t>
            </w:r>
            <w:r>
              <w:rPr>
                <w:sz w:val="23"/>
                <w:szCs w:val="23"/>
              </w:rPr>
              <w:t xml:space="preserve">is tax compliant as referred to in section 256(3) of the Tax Administration Act when relying on a deferral under this Act; and </w:t>
            </w:r>
          </w:p>
        </w:tc>
        <w:tc>
          <w:tcPr>
            <w:tcW w:w="4146" w:type="dxa"/>
            <w:vAlign w:val="center"/>
          </w:tcPr>
          <w:p w14:paraId="565DB234" w14:textId="77777777" w:rsidR="006B0624" w:rsidRPr="00C25809" w:rsidRDefault="006B0624" w:rsidP="00E26C5F">
            <w:pPr>
              <w:spacing w:line="276" w:lineRule="auto"/>
              <w:jc w:val="both"/>
              <w:rPr>
                <w:rFonts w:cs="Arial"/>
                <w:color w:val="000000" w:themeColor="text1"/>
                <w:szCs w:val="22"/>
              </w:rPr>
            </w:pPr>
          </w:p>
        </w:tc>
        <w:tc>
          <w:tcPr>
            <w:tcW w:w="3533" w:type="dxa"/>
            <w:vAlign w:val="center"/>
          </w:tcPr>
          <w:p w14:paraId="638A66EE" w14:textId="77777777" w:rsidR="006B0624" w:rsidRPr="00C25809" w:rsidRDefault="006B0624" w:rsidP="00E26C5F">
            <w:pPr>
              <w:spacing w:line="276" w:lineRule="auto"/>
              <w:jc w:val="both"/>
              <w:rPr>
                <w:rFonts w:cs="Arial"/>
                <w:color w:val="000000" w:themeColor="text1"/>
                <w:szCs w:val="22"/>
              </w:rPr>
            </w:pPr>
          </w:p>
        </w:tc>
      </w:tr>
      <w:tr w:rsidR="006B0624" w:rsidRPr="00C25809" w14:paraId="6D5896E7" w14:textId="77777777" w:rsidTr="00E26C5F">
        <w:trPr>
          <w:trHeight w:val="340"/>
        </w:trPr>
        <w:tc>
          <w:tcPr>
            <w:tcW w:w="6429" w:type="dxa"/>
            <w:vAlign w:val="center"/>
          </w:tcPr>
          <w:p w14:paraId="20E90762" w14:textId="494D65CD" w:rsidR="006B0624" w:rsidRPr="00C25809" w:rsidRDefault="00D83C32" w:rsidP="00E26C5F">
            <w:pPr>
              <w:rPr>
                <w:rFonts w:cs="Arial"/>
                <w:color w:val="000000" w:themeColor="text1"/>
                <w:szCs w:val="22"/>
                <w:lang w:eastAsia="en-GB"/>
              </w:rPr>
            </w:pPr>
            <w:r>
              <w:rPr>
                <w:b/>
                <w:bCs/>
                <w:sz w:val="23"/>
                <w:szCs w:val="23"/>
              </w:rPr>
              <w:t xml:space="preserve">“qualifying taxpayer” </w:t>
            </w:r>
            <w:r>
              <w:rPr>
                <w:sz w:val="23"/>
                <w:szCs w:val="23"/>
              </w:rPr>
              <w:t>is a company, trust, partnership or individual—</w:t>
            </w:r>
          </w:p>
        </w:tc>
        <w:tc>
          <w:tcPr>
            <w:tcW w:w="4146" w:type="dxa"/>
            <w:vAlign w:val="center"/>
          </w:tcPr>
          <w:p w14:paraId="26CD0EBF" w14:textId="77777777" w:rsidR="006B0624" w:rsidRPr="00C25809" w:rsidRDefault="006B0624" w:rsidP="00E26C5F">
            <w:pPr>
              <w:spacing w:line="276" w:lineRule="auto"/>
              <w:jc w:val="both"/>
              <w:rPr>
                <w:rFonts w:cs="Arial"/>
                <w:color w:val="000000" w:themeColor="text1"/>
                <w:szCs w:val="22"/>
              </w:rPr>
            </w:pPr>
          </w:p>
        </w:tc>
        <w:tc>
          <w:tcPr>
            <w:tcW w:w="3533" w:type="dxa"/>
            <w:vAlign w:val="center"/>
          </w:tcPr>
          <w:p w14:paraId="23BB8E8E" w14:textId="77777777" w:rsidR="006B0624" w:rsidRPr="00C25809" w:rsidRDefault="006B0624" w:rsidP="00E26C5F">
            <w:pPr>
              <w:spacing w:line="276" w:lineRule="auto"/>
              <w:jc w:val="both"/>
              <w:rPr>
                <w:rFonts w:cs="Arial"/>
                <w:color w:val="000000" w:themeColor="text1"/>
                <w:szCs w:val="22"/>
              </w:rPr>
            </w:pPr>
          </w:p>
        </w:tc>
      </w:tr>
      <w:tr w:rsidR="00BF05CC" w:rsidRPr="00C25809" w14:paraId="7BBAB464" w14:textId="77777777" w:rsidTr="00E26C5F">
        <w:trPr>
          <w:trHeight w:val="340"/>
        </w:trPr>
        <w:tc>
          <w:tcPr>
            <w:tcW w:w="6429" w:type="dxa"/>
            <w:vAlign w:val="center"/>
          </w:tcPr>
          <w:p w14:paraId="0F7D1BB2" w14:textId="5203421C" w:rsidR="00BF05CC" w:rsidRPr="00D83C32" w:rsidRDefault="00D83C32" w:rsidP="00D83C32">
            <w:pPr>
              <w:pStyle w:val="Default"/>
              <w:rPr>
                <w:sz w:val="23"/>
                <w:szCs w:val="23"/>
              </w:rPr>
            </w:pPr>
            <w:r>
              <w:rPr>
                <w:i/>
                <w:iCs/>
                <w:sz w:val="23"/>
                <w:szCs w:val="23"/>
              </w:rPr>
              <w:t xml:space="preserve">(a) </w:t>
            </w:r>
            <w:r>
              <w:rPr>
                <w:sz w:val="23"/>
                <w:szCs w:val="23"/>
              </w:rPr>
              <w:t xml:space="preserve">that is a taxpayer as defined in section 151 of the Tax Administration Act that conducts a trade; </w:t>
            </w:r>
          </w:p>
        </w:tc>
        <w:tc>
          <w:tcPr>
            <w:tcW w:w="4146" w:type="dxa"/>
            <w:vAlign w:val="center"/>
          </w:tcPr>
          <w:p w14:paraId="4D9C39EE" w14:textId="77777777" w:rsidR="00BF05CC" w:rsidRPr="00C25809" w:rsidRDefault="00BF05CC" w:rsidP="00E26C5F">
            <w:pPr>
              <w:spacing w:line="276" w:lineRule="auto"/>
              <w:jc w:val="both"/>
              <w:rPr>
                <w:rFonts w:cs="Arial"/>
                <w:color w:val="000000" w:themeColor="text1"/>
                <w:szCs w:val="22"/>
              </w:rPr>
            </w:pPr>
          </w:p>
        </w:tc>
        <w:tc>
          <w:tcPr>
            <w:tcW w:w="3533" w:type="dxa"/>
            <w:vAlign w:val="center"/>
          </w:tcPr>
          <w:p w14:paraId="7D673720" w14:textId="77777777" w:rsidR="00BF05CC" w:rsidRPr="00C25809" w:rsidRDefault="00BF05CC" w:rsidP="00E26C5F">
            <w:pPr>
              <w:spacing w:line="276" w:lineRule="auto"/>
              <w:jc w:val="both"/>
              <w:rPr>
                <w:rFonts w:cs="Arial"/>
                <w:color w:val="000000" w:themeColor="text1"/>
                <w:szCs w:val="22"/>
              </w:rPr>
            </w:pPr>
          </w:p>
        </w:tc>
      </w:tr>
      <w:tr w:rsidR="00BF05CC" w:rsidRPr="00C25809" w14:paraId="0153B31A" w14:textId="77777777" w:rsidTr="00E26C5F">
        <w:trPr>
          <w:trHeight w:val="340"/>
        </w:trPr>
        <w:tc>
          <w:tcPr>
            <w:tcW w:w="6429" w:type="dxa"/>
            <w:vAlign w:val="center"/>
          </w:tcPr>
          <w:p w14:paraId="44A76494" w14:textId="41BC4A76" w:rsidR="00BF05CC" w:rsidRPr="00EB2538" w:rsidRDefault="00EB2538" w:rsidP="0079711A">
            <w:pPr>
              <w:pStyle w:val="Default"/>
              <w:numPr>
                <w:ilvl w:val="0"/>
                <w:numId w:val="1"/>
              </w:numPr>
              <w:rPr>
                <w:sz w:val="23"/>
                <w:szCs w:val="23"/>
              </w:rPr>
            </w:pPr>
            <w:r>
              <w:rPr>
                <w:i/>
                <w:iCs/>
                <w:sz w:val="23"/>
                <w:szCs w:val="23"/>
              </w:rPr>
              <w:t xml:space="preserve">(b) </w:t>
            </w:r>
            <w:r>
              <w:rPr>
                <w:sz w:val="23"/>
                <w:szCs w:val="23"/>
              </w:rPr>
              <w:t xml:space="preserve">that has a gross income of R100 million or less during the year of assessment ending on or after 1 April 2020 but before 1 April 2021; </w:t>
            </w:r>
          </w:p>
        </w:tc>
        <w:tc>
          <w:tcPr>
            <w:tcW w:w="4146" w:type="dxa"/>
            <w:vAlign w:val="center"/>
          </w:tcPr>
          <w:p w14:paraId="64CA4C2B" w14:textId="77777777" w:rsidR="00BF05CC" w:rsidRPr="00C25809" w:rsidRDefault="00BF05CC" w:rsidP="00E26C5F">
            <w:pPr>
              <w:spacing w:line="276" w:lineRule="auto"/>
              <w:jc w:val="both"/>
              <w:rPr>
                <w:rFonts w:cs="Arial"/>
                <w:color w:val="000000" w:themeColor="text1"/>
                <w:szCs w:val="22"/>
              </w:rPr>
            </w:pPr>
          </w:p>
        </w:tc>
        <w:tc>
          <w:tcPr>
            <w:tcW w:w="3533" w:type="dxa"/>
            <w:vAlign w:val="center"/>
          </w:tcPr>
          <w:p w14:paraId="3FD8F59F" w14:textId="77777777" w:rsidR="00BF05CC" w:rsidRPr="00C25809" w:rsidRDefault="00BF05CC" w:rsidP="00E26C5F">
            <w:pPr>
              <w:spacing w:line="276" w:lineRule="auto"/>
              <w:jc w:val="both"/>
              <w:rPr>
                <w:rFonts w:cs="Arial"/>
                <w:color w:val="000000" w:themeColor="text1"/>
                <w:szCs w:val="22"/>
              </w:rPr>
            </w:pPr>
          </w:p>
        </w:tc>
      </w:tr>
      <w:tr w:rsidR="00BF05CC" w:rsidRPr="00C25809" w14:paraId="00916FC0" w14:textId="77777777" w:rsidTr="00E26C5F">
        <w:trPr>
          <w:trHeight w:val="340"/>
        </w:trPr>
        <w:tc>
          <w:tcPr>
            <w:tcW w:w="6429" w:type="dxa"/>
            <w:vAlign w:val="center"/>
          </w:tcPr>
          <w:p w14:paraId="030A93DD" w14:textId="43649F6D" w:rsidR="00BF05CC" w:rsidRPr="00EB2538" w:rsidRDefault="00EB2538" w:rsidP="0079711A">
            <w:pPr>
              <w:pStyle w:val="Default"/>
              <w:numPr>
                <w:ilvl w:val="0"/>
                <w:numId w:val="2"/>
              </w:numPr>
              <w:rPr>
                <w:sz w:val="23"/>
                <w:szCs w:val="23"/>
              </w:rPr>
            </w:pPr>
            <w:r>
              <w:rPr>
                <w:i/>
                <w:iCs/>
                <w:sz w:val="23"/>
                <w:szCs w:val="23"/>
              </w:rPr>
              <w:t xml:space="preserve">(c) </w:t>
            </w:r>
            <w:r>
              <w:rPr>
                <w:sz w:val="23"/>
                <w:szCs w:val="23"/>
              </w:rPr>
              <w:t xml:space="preserve">whose gross income for the year of assessment does not include more than 20 per cent in aggregate of interest, dividends, foreign dividends, royalties, rental from letting fixed property, annuities and any remuneration received from an employer; and </w:t>
            </w:r>
          </w:p>
        </w:tc>
        <w:tc>
          <w:tcPr>
            <w:tcW w:w="4146" w:type="dxa"/>
            <w:vAlign w:val="center"/>
          </w:tcPr>
          <w:p w14:paraId="47D7273B" w14:textId="77777777" w:rsidR="00BF05CC" w:rsidRPr="00C25809" w:rsidRDefault="00BF05CC" w:rsidP="00E26C5F">
            <w:pPr>
              <w:spacing w:line="276" w:lineRule="auto"/>
              <w:jc w:val="both"/>
              <w:rPr>
                <w:rFonts w:cs="Arial"/>
                <w:color w:val="000000" w:themeColor="text1"/>
                <w:szCs w:val="22"/>
              </w:rPr>
            </w:pPr>
          </w:p>
        </w:tc>
        <w:tc>
          <w:tcPr>
            <w:tcW w:w="3533" w:type="dxa"/>
            <w:vAlign w:val="center"/>
          </w:tcPr>
          <w:p w14:paraId="2408CC46" w14:textId="77777777" w:rsidR="00BF05CC" w:rsidRPr="00C25809" w:rsidRDefault="00BF05CC" w:rsidP="00E26C5F">
            <w:pPr>
              <w:spacing w:line="276" w:lineRule="auto"/>
              <w:jc w:val="both"/>
              <w:rPr>
                <w:rFonts w:cs="Arial"/>
                <w:color w:val="000000" w:themeColor="text1"/>
                <w:szCs w:val="22"/>
              </w:rPr>
            </w:pPr>
          </w:p>
        </w:tc>
      </w:tr>
      <w:tr w:rsidR="00BF05CC" w:rsidRPr="00C25809" w14:paraId="69C46EE6" w14:textId="77777777" w:rsidTr="00E26C5F">
        <w:trPr>
          <w:trHeight w:val="340"/>
        </w:trPr>
        <w:tc>
          <w:tcPr>
            <w:tcW w:w="6429" w:type="dxa"/>
            <w:vAlign w:val="center"/>
          </w:tcPr>
          <w:p w14:paraId="6678D5D1" w14:textId="6802C2B3" w:rsidR="00BF05CC" w:rsidRPr="00EB2538" w:rsidRDefault="00EB2538" w:rsidP="0079711A">
            <w:pPr>
              <w:pStyle w:val="Default"/>
              <w:numPr>
                <w:ilvl w:val="0"/>
                <w:numId w:val="3"/>
              </w:numPr>
              <w:rPr>
                <w:sz w:val="23"/>
                <w:szCs w:val="23"/>
              </w:rPr>
            </w:pPr>
            <w:r>
              <w:rPr>
                <w:i/>
                <w:iCs/>
                <w:sz w:val="23"/>
                <w:szCs w:val="23"/>
              </w:rPr>
              <w:t xml:space="preserve">(d) </w:t>
            </w:r>
            <w:r>
              <w:rPr>
                <w:sz w:val="23"/>
                <w:szCs w:val="23"/>
              </w:rPr>
              <w:t xml:space="preserve">that is tax compliant as referred to in section 256(3) of the Tax Administration Act when relying on a deferral under this Act; </w:t>
            </w:r>
          </w:p>
        </w:tc>
        <w:tc>
          <w:tcPr>
            <w:tcW w:w="4146" w:type="dxa"/>
            <w:vAlign w:val="center"/>
          </w:tcPr>
          <w:p w14:paraId="44AF8E31" w14:textId="77777777" w:rsidR="00BF05CC" w:rsidRPr="00C25809" w:rsidRDefault="00BF05CC" w:rsidP="00E26C5F">
            <w:pPr>
              <w:spacing w:line="276" w:lineRule="auto"/>
              <w:jc w:val="both"/>
              <w:rPr>
                <w:rFonts w:cs="Arial"/>
                <w:color w:val="000000" w:themeColor="text1"/>
                <w:szCs w:val="22"/>
              </w:rPr>
            </w:pPr>
          </w:p>
        </w:tc>
        <w:tc>
          <w:tcPr>
            <w:tcW w:w="3533" w:type="dxa"/>
            <w:vAlign w:val="center"/>
          </w:tcPr>
          <w:p w14:paraId="1DEEB5E2" w14:textId="77777777" w:rsidR="00BF05CC" w:rsidRPr="00C25809" w:rsidRDefault="00BF05CC" w:rsidP="00E26C5F">
            <w:pPr>
              <w:spacing w:line="276" w:lineRule="auto"/>
              <w:jc w:val="both"/>
              <w:rPr>
                <w:rFonts w:cs="Arial"/>
                <w:color w:val="000000" w:themeColor="text1"/>
                <w:szCs w:val="22"/>
              </w:rPr>
            </w:pPr>
          </w:p>
        </w:tc>
      </w:tr>
      <w:tr w:rsidR="00BF05CC" w:rsidRPr="00C25809" w14:paraId="3CD34702" w14:textId="77777777" w:rsidTr="00E26C5F">
        <w:trPr>
          <w:trHeight w:val="340"/>
        </w:trPr>
        <w:tc>
          <w:tcPr>
            <w:tcW w:w="6429" w:type="dxa"/>
            <w:vAlign w:val="center"/>
          </w:tcPr>
          <w:p w14:paraId="2FDF588E" w14:textId="4CF449EF" w:rsidR="00BF05CC" w:rsidRPr="00C25809" w:rsidRDefault="00EB2538" w:rsidP="00E26C5F">
            <w:pPr>
              <w:rPr>
                <w:rFonts w:cs="Arial"/>
                <w:color w:val="000000" w:themeColor="text1"/>
                <w:szCs w:val="22"/>
                <w:lang w:eastAsia="en-GB"/>
              </w:rPr>
            </w:pPr>
            <w:r>
              <w:rPr>
                <w:sz w:val="23"/>
                <w:szCs w:val="23"/>
              </w:rPr>
              <w:lastRenderedPageBreak/>
              <w:t>Provided that:</w:t>
            </w:r>
          </w:p>
        </w:tc>
        <w:tc>
          <w:tcPr>
            <w:tcW w:w="4146" w:type="dxa"/>
            <w:vAlign w:val="center"/>
          </w:tcPr>
          <w:p w14:paraId="265501C0" w14:textId="77777777" w:rsidR="00BF05CC" w:rsidRPr="00C25809" w:rsidRDefault="00BF05CC" w:rsidP="00E26C5F">
            <w:pPr>
              <w:spacing w:line="276" w:lineRule="auto"/>
              <w:jc w:val="both"/>
              <w:rPr>
                <w:rFonts w:cs="Arial"/>
                <w:color w:val="000000" w:themeColor="text1"/>
                <w:szCs w:val="22"/>
              </w:rPr>
            </w:pPr>
          </w:p>
        </w:tc>
        <w:tc>
          <w:tcPr>
            <w:tcW w:w="3533" w:type="dxa"/>
            <w:vAlign w:val="center"/>
          </w:tcPr>
          <w:p w14:paraId="2630E523" w14:textId="77777777" w:rsidR="00BF05CC" w:rsidRPr="00C25809" w:rsidRDefault="00BF05CC" w:rsidP="00E26C5F">
            <w:pPr>
              <w:spacing w:line="276" w:lineRule="auto"/>
              <w:jc w:val="both"/>
              <w:rPr>
                <w:rFonts w:cs="Arial"/>
                <w:color w:val="000000" w:themeColor="text1"/>
                <w:szCs w:val="22"/>
              </w:rPr>
            </w:pPr>
          </w:p>
        </w:tc>
      </w:tr>
      <w:tr w:rsidR="00EB2538" w:rsidRPr="00C25809" w14:paraId="45A73EF5" w14:textId="77777777" w:rsidTr="00E26C5F">
        <w:trPr>
          <w:trHeight w:val="340"/>
        </w:trPr>
        <w:tc>
          <w:tcPr>
            <w:tcW w:w="6429" w:type="dxa"/>
            <w:vAlign w:val="center"/>
          </w:tcPr>
          <w:p w14:paraId="0BCE1934" w14:textId="2B2C0419" w:rsidR="00EB2538" w:rsidRPr="003B1453" w:rsidRDefault="003B1453" w:rsidP="003B1453">
            <w:pPr>
              <w:pStyle w:val="Default"/>
              <w:rPr>
                <w:sz w:val="23"/>
                <w:szCs w:val="23"/>
              </w:rPr>
            </w:pPr>
            <w:r>
              <w:rPr>
                <w:sz w:val="23"/>
                <w:szCs w:val="23"/>
              </w:rPr>
              <w:t>(</w:t>
            </w:r>
            <w:proofErr w:type="spellStart"/>
            <w:r>
              <w:rPr>
                <w:sz w:val="23"/>
                <w:szCs w:val="23"/>
              </w:rPr>
              <w:t>i</w:t>
            </w:r>
            <w:proofErr w:type="spellEnd"/>
            <w:r>
              <w:rPr>
                <w:sz w:val="23"/>
                <w:szCs w:val="23"/>
              </w:rPr>
              <w:t xml:space="preserve">) the gross income of a partnership for </w:t>
            </w:r>
            <w:proofErr w:type="spellStart"/>
            <w:r>
              <w:rPr>
                <w:sz w:val="23"/>
                <w:szCs w:val="23"/>
              </w:rPr>
              <w:t>puposes</w:t>
            </w:r>
            <w:proofErr w:type="spellEnd"/>
            <w:r>
              <w:rPr>
                <w:sz w:val="23"/>
                <w:szCs w:val="23"/>
              </w:rPr>
              <w:t xml:space="preserve"> of this definition is the aggregate of the partners’ gross income from the partnership; and </w:t>
            </w:r>
          </w:p>
        </w:tc>
        <w:tc>
          <w:tcPr>
            <w:tcW w:w="4146" w:type="dxa"/>
            <w:vAlign w:val="center"/>
          </w:tcPr>
          <w:p w14:paraId="7CA9911D" w14:textId="57824965" w:rsidR="00EB2538" w:rsidRPr="00C25809" w:rsidRDefault="003B1453" w:rsidP="00E26C5F">
            <w:pPr>
              <w:spacing w:line="276" w:lineRule="auto"/>
              <w:jc w:val="both"/>
              <w:rPr>
                <w:rFonts w:cs="Arial"/>
                <w:color w:val="000000" w:themeColor="text1"/>
                <w:szCs w:val="22"/>
              </w:rPr>
            </w:pPr>
            <w:r>
              <w:rPr>
                <w:rFonts w:cs="Arial"/>
                <w:color w:val="000000" w:themeColor="text1"/>
                <w:szCs w:val="22"/>
              </w:rPr>
              <w:t>Replace the word “</w:t>
            </w:r>
            <w:proofErr w:type="spellStart"/>
            <w:r w:rsidR="000C05B3">
              <w:rPr>
                <w:rFonts w:cs="Arial"/>
                <w:color w:val="000000" w:themeColor="text1"/>
                <w:szCs w:val="22"/>
              </w:rPr>
              <w:t>puposes</w:t>
            </w:r>
            <w:proofErr w:type="spellEnd"/>
            <w:r w:rsidR="000C05B3">
              <w:rPr>
                <w:rFonts w:cs="Arial"/>
                <w:color w:val="000000" w:themeColor="text1"/>
                <w:szCs w:val="22"/>
              </w:rPr>
              <w:t>” with the word “purposes”</w:t>
            </w:r>
          </w:p>
        </w:tc>
        <w:tc>
          <w:tcPr>
            <w:tcW w:w="3533" w:type="dxa"/>
            <w:vAlign w:val="center"/>
          </w:tcPr>
          <w:p w14:paraId="103112B4" w14:textId="77777777" w:rsidR="00EB2538" w:rsidRPr="00C25809" w:rsidRDefault="00EB2538" w:rsidP="00E26C5F">
            <w:pPr>
              <w:spacing w:line="276" w:lineRule="auto"/>
              <w:jc w:val="both"/>
              <w:rPr>
                <w:rFonts w:cs="Arial"/>
                <w:color w:val="000000" w:themeColor="text1"/>
                <w:szCs w:val="22"/>
              </w:rPr>
            </w:pPr>
          </w:p>
        </w:tc>
      </w:tr>
      <w:tr w:rsidR="00EB2538" w:rsidRPr="00C25809" w14:paraId="2B8647CB" w14:textId="77777777" w:rsidTr="00E26C5F">
        <w:trPr>
          <w:trHeight w:val="340"/>
        </w:trPr>
        <w:tc>
          <w:tcPr>
            <w:tcW w:w="6429" w:type="dxa"/>
            <w:vAlign w:val="center"/>
          </w:tcPr>
          <w:p w14:paraId="3C27265B" w14:textId="1AD5CA64" w:rsidR="00EB2538" w:rsidRPr="00E72A34" w:rsidRDefault="003B1453" w:rsidP="00E72A34">
            <w:pPr>
              <w:pStyle w:val="Default"/>
              <w:rPr>
                <w:sz w:val="23"/>
                <w:szCs w:val="23"/>
              </w:rPr>
            </w:pPr>
            <w:r>
              <w:rPr>
                <w:sz w:val="23"/>
                <w:szCs w:val="23"/>
              </w:rPr>
              <w:t xml:space="preserve">(ii) paragraph </w:t>
            </w:r>
            <w:r>
              <w:rPr>
                <w:i/>
                <w:iCs/>
                <w:sz w:val="23"/>
                <w:szCs w:val="23"/>
              </w:rPr>
              <w:t xml:space="preserve">(c) </w:t>
            </w:r>
            <w:r>
              <w:rPr>
                <w:sz w:val="23"/>
                <w:szCs w:val="23"/>
              </w:rPr>
              <w:t xml:space="preserve">must be read without the reference to rental from letting fixed property, if the primary trading activity of the company, trust, partnership or individual is the letting of fixed properties and substantially the whole of the gross income is rental from fixed property. </w:t>
            </w:r>
          </w:p>
        </w:tc>
        <w:tc>
          <w:tcPr>
            <w:tcW w:w="4146" w:type="dxa"/>
            <w:vAlign w:val="center"/>
          </w:tcPr>
          <w:p w14:paraId="44F7335F" w14:textId="77777777" w:rsidR="00EB2538" w:rsidRPr="00C25809" w:rsidRDefault="00EB2538" w:rsidP="00E26C5F">
            <w:pPr>
              <w:spacing w:line="276" w:lineRule="auto"/>
              <w:jc w:val="both"/>
              <w:rPr>
                <w:rFonts w:cs="Arial"/>
                <w:color w:val="000000" w:themeColor="text1"/>
                <w:szCs w:val="22"/>
              </w:rPr>
            </w:pPr>
          </w:p>
        </w:tc>
        <w:tc>
          <w:tcPr>
            <w:tcW w:w="3533" w:type="dxa"/>
            <w:vAlign w:val="center"/>
          </w:tcPr>
          <w:p w14:paraId="5A7A93D5" w14:textId="77777777" w:rsidR="00EB2538" w:rsidRPr="00C25809" w:rsidRDefault="00EB2538" w:rsidP="00E26C5F">
            <w:pPr>
              <w:spacing w:line="276" w:lineRule="auto"/>
              <w:jc w:val="both"/>
              <w:rPr>
                <w:rFonts w:cs="Arial"/>
                <w:color w:val="000000" w:themeColor="text1"/>
                <w:szCs w:val="22"/>
              </w:rPr>
            </w:pPr>
          </w:p>
        </w:tc>
      </w:tr>
      <w:tr w:rsidR="00EB2538" w:rsidRPr="00C25809" w14:paraId="0EDE8836" w14:textId="77777777" w:rsidTr="00E26C5F">
        <w:trPr>
          <w:trHeight w:val="340"/>
        </w:trPr>
        <w:tc>
          <w:tcPr>
            <w:tcW w:w="6429" w:type="dxa"/>
            <w:vAlign w:val="center"/>
          </w:tcPr>
          <w:p w14:paraId="597D026C" w14:textId="5AB595AD" w:rsidR="00EB2538" w:rsidRPr="00C25809" w:rsidRDefault="00E72A34" w:rsidP="00E26C5F">
            <w:pPr>
              <w:rPr>
                <w:rFonts w:cs="Arial"/>
                <w:color w:val="000000" w:themeColor="text1"/>
                <w:szCs w:val="22"/>
                <w:lang w:eastAsia="en-GB"/>
              </w:rPr>
            </w:pPr>
            <w:r>
              <w:rPr>
                <w:b/>
                <w:bCs/>
                <w:sz w:val="23"/>
                <w:szCs w:val="23"/>
              </w:rPr>
              <w:t xml:space="preserve">“Solidarity Fund” </w:t>
            </w:r>
            <w:r>
              <w:rPr>
                <w:sz w:val="23"/>
                <w:szCs w:val="23"/>
              </w:rPr>
              <w:t>means the Solidarity Response Fund, registered with the Companies and Intellectual Property Commission as a non-profit company under registration number 2020/179561/08.</w:t>
            </w:r>
          </w:p>
        </w:tc>
        <w:tc>
          <w:tcPr>
            <w:tcW w:w="4146" w:type="dxa"/>
            <w:vAlign w:val="center"/>
          </w:tcPr>
          <w:p w14:paraId="2BD2D49C" w14:textId="77777777" w:rsidR="00EB2538" w:rsidRPr="00C25809" w:rsidRDefault="00EB2538" w:rsidP="00E26C5F">
            <w:pPr>
              <w:spacing w:line="276" w:lineRule="auto"/>
              <w:jc w:val="both"/>
              <w:rPr>
                <w:rFonts w:cs="Arial"/>
                <w:color w:val="000000" w:themeColor="text1"/>
                <w:szCs w:val="22"/>
              </w:rPr>
            </w:pPr>
          </w:p>
        </w:tc>
        <w:tc>
          <w:tcPr>
            <w:tcW w:w="3533" w:type="dxa"/>
            <w:vAlign w:val="center"/>
          </w:tcPr>
          <w:p w14:paraId="52332350" w14:textId="77777777" w:rsidR="00EB2538" w:rsidRPr="00C25809" w:rsidRDefault="00EB2538" w:rsidP="00E26C5F">
            <w:pPr>
              <w:spacing w:line="276" w:lineRule="auto"/>
              <w:jc w:val="both"/>
              <w:rPr>
                <w:rFonts w:cs="Arial"/>
                <w:color w:val="000000" w:themeColor="text1"/>
                <w:szCs w:val="22"/>
              </w:rPr>
            </w:pPr>
          </w:p>
        </w:tc>
      </w:tr>
      <w:tr w:rsidR="00E72A34" w:rsidRPr="00C25809" w14:paraId="2FBE293F" w14:textId="77777777" w:rsidTr="00E72A34">
        <w:trPr>
          <w:trHeight w:val="340"/>
        </w:trPr>
        <w:tc>
          <w:tcPr>
            <w:tcW w:w="14108" w:type="dxa"/>
            <w:gridSpan w:val="3"/>
            <w:shd w:val="clear" w:color="auto" w:fill="C5E0B3" w:themeFill="accent6" w:themeFillTint="66"/>
            <w:vAlign w:val="center"/>
          </w:tcPr>
          <w:p w14:paraId="4E1FA9B3" w14:textId="7254C2C6" w:rsidR="00E72A34" w:rsidRPr="00C25809" w:rsidRDefault="00E72A34" w:rsidP="00E26C5F">
            <w:pPr>
              <w:spacing w:line="276" w:lineRule="auto"/>
              <w:jc w:val="both"/>
              <w:rPr>
                <w:rFonts w:cs="Arial"/>
                <w:color w:val="000000" w:themeColor="text1"/>
                <w:szCs w:val="22"/>
              </w:rPr>
            </w:pPr>
            <w:r>
              <w:rPr>
                <w:b/>
                <w:bCs/>
                <w:sz w:val="23"/>
                <w:szCs w:val="23"/>
              </w:rPr>
              <w:t>Deferral of employees’ tax</w:t>
            </w:r>
          </w:p>
        </w:tc>
      </w:tr>
      <w:tr w:rsidR="00EB2538" w:rsidRPr="00C25809" w14:paraId="2277B212" w14:textId="77777777" w:rsidTr="00E26C5F">
        <w:trPr>
          <w:trHeight w:val="340"/>
        </w:trPr>
        <w:tc>
          <w:tcPr>
            <w:tcW w:w="6429" w:type="dxa"/>
            <w:vAlign w:val="center"/>
          </w:tcPr>
          <w:p w14:paraId="2D411AF9" w14:textId="42C2EAB0" w:rsidR="00EB2538" w:rsidRPr="00C25809" w:rsidRDefault="007910B7" w:rsidP="00E26C5F">
            <w:pPr>
              <w:rPr>
                <w:rFonts w:cs="Arial"/>
                <w:color w:val="000000" w:themeColor="text1"/>
                <w:szCs w:val="22"/>
                <w:lang w:eastAsia="en-GB"/>
              </w:rPr>
            </w:pPr>
            <w:r>
              <w:rPr>
                <w:b/>
                <w:bCs/>
                <w:sz w:val="23"/>
                <w:szCs w:val="23"/>
              </w:rPr>
              <w:t xml:space="preserve">2. </w:t>
            </w:r>
            <w:r>
              <w:rPr>
                <w:sz w:val="23"/>
                <w:szCs w:val="23"/>
              </w:rPr>
              <w:t>(1) A qualifying taxpayer that is a resident employer or representative employer as referred to in paragraph 2 of the Fourth Schedule to the Income Tax Act that is registered as such an employer by 1 March 2020, may pay only 65 per cent of the employees’ tax due in terms of paragraph 2(1) of the Fourth Schedule, with respect to amounts deducted or withheld during the period commencing on 1 April 2020 and ending on 31 July 2020.</w:t>
            </w:r>
          </w:p>
        </w:tc>
        <w:tc>
          <w:tcPr>
            <w:tcW w:w="4146" w:type="dxa"/>
            <w:vAlign w:val="center"/>
          </w:tcPr>
          <w:p w14:paraId="35B48811" w14:textId="77777777" w:rsidR="00EB2538" w:rsidRPr="00C25809" w:rsidRDefault="00EB2538" w:rsidP="00E26C5F">
            <w:pPr>
              <w:spacing w:line="276" w:lineRule="auto"/>
              <w:jc w:val="both"/>
              <w:rPr>
                <w:rFonts w:cs="Arial"/>
                <w:color w:val="000000" w:themeColor="text1"/>
                <w:szCs w:val="22"/>
              </w:rPr>
            </w:pPr>
          </w:p>
        </w:tc>
        <w:tc>
          <w:tcPr>
            <w:tcW w:w="3533" w:type="dxa"/>
            <w:vAlign w:val="center"/>
          </w:tcPr>
          <w:p w14:paraId="69D4C432" w14:textId="77777777" w:rsidR="00EB2538" w:rsidRPr="00C25809" w:rsidRDefault="00EB2538" w:rsidP="00E26C5F">
            <w:pPr>
              <w:spacing w:line="276" w:lineRule="auto"/>
              <w:jc w:val="both"/>
              <w:rPr>
                <w:rFonts w:cs="Arial"/>
                <w:color w:val="000000" w:themeColor="text1"/>
                <w:szCs w:val="22"/>
              </w:rPr>
            </w:pPr>
          </w:p>
        </w:tc>
      </w:tr>
      <w:tr w:rsidR="00EB2538" w:rsidRPr="00C25809" w14:paraId="1D0D61F7" w14:textId="77777777" w:rsidTr="00E26C5F">
        <w:trPr>
          <w:trHeight w:val="340"/>
        </w:trPr>
        <w:tc>
          <w:tcPr>
            <w:tcW w:w="6429" w:type="dxa"/>
            <w:vAlign w:val="center"/>
          </w:tcPr>
          <w:p w14:paraId="64F71256" w14:textId="1A475E74" w:rsidR="00EB2538" w:rsidRPr="00C25809" w:rsidRDefault="007910B7" w:rsidP="00E26C5F">
            <w:pPr>
              <w:rPr>
                <w:rFonts w:cs="Arial"/>
                <w:color w:val="000000" w:themeColor="text1"/>
                <w:szCs w:val="22"/>
                <w:lang w:eastAsia="en-GB"/>
              </w:rPr>
            </w:pPr>
            <w:r>
              <w:rPr>
                <w:sz w:val="23"/>
                <w:szCs w:val="23"/>
              </w:rPr>
              <w:t xml:space="preserve">(2) The remaining amount of 35 per cent of the employees’ tax due in terms of paragraph 2(1) of the Fourth Schedule, </w:t>
            </w:r>
            <w:r>
              <w:rPr>
                <w:sz w:val="23"/>
                <w:szCs w:val="23"/>
              </w:rPr>
              <w:lastRenderedPageBreak/>
              <w:t>with respect to amounts deducted or withheld during the period in subsection (1), must be included in the gross employees’ tax due by the employer in six equal monthly instalments, commencing on 7 September 2020 and ending on 5 February 2021.</w:t>
            </w:r>
          </w:p>
        </w:tc>
        <w:tc>
          <w:tcPr>
            <w:tcW w:w="4146" w:type="dxa"/>
            <w:vAlign w:val="center"/>
          </w:tcPr>
          <w:p w14:paraId="7587571D" w14:textId="77777777" w:rsidR="00EB2538" w:rsidRPr="00C25809" w:rsidRDefault="00EB2538" w:rsidP="00E26C5F">
            <w:pPr>
              <w:spacing w:line="276" w:lineRule="auto"/>
              <w:jc w:val="both"/>
              <w:rPr>
                <w:rFonts w:cs="Arial"/>
                <w:color w:val="000000" w:themeColor="text1"/>
                <w:szCs w:val="22"/>
              </w:rPr>
            </w:pPr>
          </w:p>
        </w:tc>
        <w:tc>
          <w:tcPr>
            <w:tcW w:w="3533" w:type="dxa"/>
            <w:vAlign w:val="center"/>
          </w:tcPr>
          <w:p w14:paraId="6425E6A0" w14:textId="77777777" w:rsidR="00EB2538" w:rsidRPr="00C25809" w:rsidRDefault="00EB2538" w:rsidP="00E26C5F">
            <w:pPr>
              <w:spacing w:line="276" w:lineRule="auto"/>
              <w:jc w:val="both"/>
              <w:rPr>
                <w:rFonts w:cs="Arial"/>
                <w:color w:val="000000" w:themeColor="text1"/>
                <w:szCs w:val="22"/>
              </w:rPr>
            </w:pPr>
          </w:p>
        </w:tc>
      </w:tr>
      <w:tr w:rsidR="00EB2538" w:rsidRPr="00C25809" w14:paraId="1D0BAA5A" w14:textId="77777777" w:rsidTr="00E26C5F">
        <w:trPr>
          <w:trHeight w:val="340"/>
        </w:trPr>
        <w:tc>
          <w:tcPr>
            <w:tcW w:w="6429" w:type="dxa"/>
            <w:vAlign w:val="center"/>
          </w:tcPr>
          <w:p w14:paraId="25741267" w14:textId="035A0B20" w:rsidR="00EB2538" w:rsidRPr="00C25809" w:rsidRDefault="007910B7" w:rsidP="00E26C5F">
            <w:pPr>
              <w:rPr>
                <w:rFonts w:cs="Arial"/>
                <w:color w:val="000000" w:themeColor="text1"/>
                <w:szCs w:val="22"/>
                <w:lang w:eastAsia="en-GB"/>
              </w:rPr>
            </w:pPr>
            <w:r>
              <w:rPr>
                <w:sz w:val="23"/>
                <w:szCs w:val="23"/>
              </w:rPr>
              <w:t>(3) No penalties in terms of paragraph 6 of the Fourth Schedule will be levied on amounts deferred in terms of subsection (1).</w:t>
            </w:r>
          </w:p>
        </w:tc>
        <w:tc>
          <w:tcPr>
            <w:tcW w:w="4146" w:type="dxa"/>
            <w:vAlign w:val="center"/>
          </w:tcPr>
          <w:p w14:paraId="70F2D2CE" w14:textId="77777777" w:rsidR="00EB2538" w:rsidRPr="00C25809" w:rsidRDefault="00EB2538" w:rsidP="00E26C5F">
            <w:pPr>
              <w:spacing w:line="276" w:lineRule="auto"/>
              <w:jc w:val="both"/>
              <w:rPr>
                <w:rFonts w:cs="Arial"/>
                <w:color w:val="000000" w:themeColor="text1"/>
                <w:szCs w:val="22"/>
              </w:rPr>
            </w:pPr>
          </w:p>
        </w:tc>
        <w:tc>
          <w:tcPr>
            <w:tcW w:w="3533" w:type="dxa"/>
            <w:vAlign w:val="center"/>
          </w:tcPr>
          <w:p w14:paraId="2E8E1D6D" w14:textId="77777777" w:rsidR="00EB2538" w:rsidRPr="00C25809" w:rsidRDefault="00EB2538" w:rsidP="00E26C5F">
            <w:pPr>
              <w:spacing w:line="276" w:lineRule="auto"/>
              <w:jc w:val="both"/>
              <w:rPr>
                <w:rFonts w:cs="Arial"/>
                <w:color w:val="000000" w:themeColor="text1"/>
                <w:szCs w:val="22"/>
              </w:rPr>
            </w:pPr>
          </w:p>
        </w:tc>
      </w:tr>
      <w:tr w:rsidR="007910B7" w:rsidRPr="00C25809" w14:paraId="20378471" w14:textId="77777777" w:rsidTr="00E26C5F">
        <w:trPr>
          <w:trHeight w:val="340"/>
        </w:trPr>
        <w:tc>
          <w:tcPr>
            <w:tcW w:w="6429" w:type="dxa"/>
            <w:vAlign w:val="center"/>
          </w:tcPr>
          <w:p w14:paraId="1F94FF9E" w14:textId="05DA8552" w:rsidR="007910B7" w:rsidRPr="00C25809" w:rsidRDefault="007910B7" w:rsidP="00E26C5F">
            <w:pPr>
              <w:rPr>
                <w:rFonts w:cs="Arial"/>
                <w:color w:val="000000" w:themeColor="text1"/>
                <w:szCs w:val="22"/>
                <w:lang w:eastAsia="en-GB"/>
              </w:rPr>
            </w:pPr>
            <w:r>
              <w:rPr>
                <w:sz w:val="23"/>
                <w:szCs w:val="23"/>
              </w:rPr>
              <w:t>(4) No interest in terms of section 89</w:t>
            </w:r>
            <w:r>
              <w:rPr>
                <w:i/>
                <w:iCs/>
                <w:sz w:val="23"/>
                <w:szCs w:val="23"/>
              </w:rPr>
              <w:t xml:space="preserve">bis </w:t>
            </w:r>
            <w:r>
              <w:rPr>
                <w:sz w:val="23"/>
                <w:szCs w:val="23"/>
              </w:rPr>
              <w:t xml:space="preserve">of the Income Tax Act will be charged in respect of amounts deferred in terms of </w:t>
            </w:r>
            <w:proofErr w:type="gramStart"/>
            <w:r>
              <w:rPr>
                <w:sz w:val="23"/>
                <w:szCs w:val="23"/>
              </w:rPr>
              <w:t>subsection(</w:t>
            </w:r>
            <w:proofErr w:type="gramEnd"/>
            <w:r>
              <w:rPr>
                <w:sz w:val="23"/>
                <w:szCs w:val="23"/>
              </w:rPr>
              <w:t>1).</w:t>
            </w:r>
          </w:p>
        </w:tc>
        <w:tc>
          <w:tcPr>
            <w:tcW w:w="4146" w:type="dxa"/>
            <w:vAlign w:val="center"/>
          </w:tcPr>
          <w:p w14:paraId="321F25AB" w14:textId="77777777" w:rsidR="007910B7" w:rsidRPr="00C25809" w:rsidRDefault="007910B7" w:rsidP="00E26C5F">
            <w:pPr>
              <w:spacing w:line="276" w:lineRule="auto"/>
              <w:jc w:val="both"/>
              <w:rPr>
                <w:rFonts w:cs="Arial"/>
                <w:color w:val="000000" w:themeColor="text1"/>
                <w:szCs w:val="22"/>
              </w:rPr>
            </w:pPr>
          </w:p>
        </w:tc>
        <w:tc>
          <w:tcPr>
            <w:tcW w:w="3533" w:type="dxa"/>
            <w:vAlign w:val="center"/>
          </w:tcPr>
          <w:p w14:paraId="6FF4DFB8" w14:textId="77777777" w:rsidR="007910B7" w:rsidRPr="00C25809" w:rsidRDefault="007910B7" w:rsidP="00E26C5F">
            <w:pPr>
              <w:spacing w:line="276" w:lineRule="auto"/>
              <w:jc w:val="both"/>
              <w:rPr>
                <w:rFonts w:cs="Arial"/>
                <w:color w:val="000000" w:themeColor="text1"/>
                <w:szCs w:val="22"/>
              </w:rPr>
            </w:pPr>
          </w:p>
        </w:tc>
      </w:tr>
      <w:tr w:rsidR="007910B7" w:rsidRPr="00C25809" w14:paraId="1CEEEEC8" w14:textId="77777777" w:rsidTr="00E26C5F">
        <w:trPr>
          <w:trHeight w:val="340"/>
        </w:trPr>
        <w:tc>
          <w:tcPr>
            <w:tcW w:w="6429" w:type="dxa"/>
            <w:vAlign w:val="center"/>
          </w:tcPr>
          <w:p w14:paraId="0CE09A6D" w14:textId="1EE91463" w:rsidR="007910B7" w:rsidRPr="00C25809" w:rsidRDefault="001C090B" w:rsidP="00E26C5F">
            <w:pPr>
              <w:rPr>
                <w:rFonts w:cs="Arial"/>
                <w:color w:val="000000" w:themeColor="text1"/>
                <w:szCs w:val="22"/>
                <w:lang w:eastAsia="en-GB"/>
              </w:rPr>
            </w:pPr>
            <w:r>
              <w:rPr>
                <w:sz w:val="23"/>
                <w:szCs w:val="23"/>
              </w:rPr>
              <w:t>(5) The amounts due in terms of subparagraph (2) are subject to penalties in terms of paragraph 6 of the Fourth Schedule and interest in terms of section 89</w:t>
            </w:r>
            <w:r>
              <w:rPr>
                <w:i/>
                <w:iCs/>
                <w:sz w:val="23"/>
                <w:szCs w:val="23"/>
              </w:rPr>
              <w:t xml:space="preserve">bis </w:t>
            </w:r>
            <w:r>
              <w:rPr>
                <w:sz w:val="23"/>
                <w:szCs w:val="23"/>
              </w:rPr>
              <w:t>of the Income Tax Act if not paid when due.</w:t>
            </w:r>
          </w:p>
        </w:tc>
        <w:tc>
          <w:tcPr>
            <w:tcW w:w="4146" w:type="dxa"/>
            <w:vAlign w:val="center"/>
          </w:tcPr>
          <w:p w14:paraId="1F9103FE" w14:textId="77777777" w:rsidR="007910B7" w:rsidRPr="00C25809" w:rsidRDefault="007910B7" w:rsidP="00E26C5F">
            <w:pPr>
              <w:spacing w:line="276" w:lineRule="auto"/>
              <w:jc w:val="both"/>
              <w:rPr>
                <w:rFonts w:cs="Arial"/>
                <w:color w:val="000000" w:themeColor="text1"/>
                <w:szCs w:val="22"/>
              </w:rPr>
            </w:pPr>
          </w:p>
        </w:tc>
        <w:tc>
          <w:tcPr>
            <w:tcW w:w="3533" w:type="dxa"/>
            <w:vAlign w:val="center"/>
          </w:tcPr>
          <w:p w14:paraId="1952EA30" w14:textId="77777777" w:rsidR="007910B7" w:rsidRPr="00C25809" w:rsidRDefault="007910B7" w:rsidP="00E26C5F">
            <w:pPr>
              <w:spacing w:line="276" w:lineRule="auto"/>
              <w:jc w:val="both"/>
              <w:rPr>
                <w:rFonts w:cs="Arial"/>
                <w:color w:val="000000" w:themeColor="text1"/>
                <w:szCs w:val="22"/>
              </w:rPr>
            </w:pPr>
          </w:p>
        </w:tc>
      </w:tr>
      <w:tr w:rsidR="00E26C5F" w:rsidRPr="00C25809" w14:paraId="4670491D" w14:textId="77777777" w:rsidTr="00E26C5F">
        <w:trPr>
          <w:trHeight w:val="340"/>
        </w:trPr>
        <w:tc>
          <w:tcPr>
            <w:tcW w:w="14108" w:type="dxa"/>
            <w:gridSpan w:val="3"/>
            <w:shd w:val="clear" w:color="auto" w:fill="C5E0B3" w:themeFill="accent6" w:themeFillTint="66"/>
            <w:vAlign w:val="center"/>
          </w:tcPr>
          <w:p w14:paraId="74DFBD5B" w14:textId="482EEACA" w:rsidR="00E26C5F" w:rsidRPr="00C25809" w:rsidRDefault="001C090B" w:rsidP="00E26C5F">
            <w:pPr>
              <w:spacing w:line="0" w:lineRule="atLeast"/>
              <w:rPr>
                <w:rFonts w:eastAsia="Arial" w:cs="Arial"/>
                <w:b/>
                <w:color w:val="000000" w:themeColor="text1"/>
                <w:szCs w:val="22"/>
              </w:rPr>
            </w:pPr>
            <w:r>
              <w:rPr>
                <w:b/>
                <w:bCs/>
                <w:sz w:val="23"/>
                <w:szCs w:val="23"/>
              </w:rPr>
              <w:t>Deferral of provisional tax</w:t>
            </w:r>
          </w:p>
        </w:tc>
      </w:tr>
      <w:tr w:rsidR="00E26C5F" w:rsidRPr="00C25809" w14:paraId="2F7A811A" w14:textId="77777777" w:rsidTr="00E26C5F">
        <w:trPr>
          <w:trHeight w:val="340"/>
        </w:trPr>
        <w:tc>
          <w:tcPr>
            <w:tcW w:w="6429" w:type="dxa"/>
            <w:vAlign w:val="center"/>
          </w:tcPr>
          <w:p w14:paraId="5CB1BD84" w14:textId="14B4C2D3" w:rsidR="00E26C5F" w:rsidRPr="00C25809" w:rsidRDefault="001C090B" w:rsidP="00E26C5F">
            <w:pPr>
              <w:spacing w:line="276" w:lineRule="auto"/>
              <w:jc w:val="both"/>
              <w:rPr>
                <w:rFonts w:cs="Arial"/>
                <w:b/>
                <w:color w:val="000000" w:themeColor="text1"/>
                <w:szCs w:val="22"/>
                <w:lang w:val="en-ZA"/>
              </w:rPr>
            </w:pPr>
            <w:r>
              <w:rPr>
                <w:b/>
                <w:bCs/>
                <w:sz w:val="23"/>
                <w:szCs w:val="23"/>
              </w:rPr>
              <w:t xml:space="preserve">3. </w:t>
            </w:r>
            <w:r>
              <w:rPr>
                <w:sz w:val="23"/>
                <w:szCs w:val="23"/>
              </w:rPr>
              <w:t>(1) A qualifying taxpayer that is a provisional taxpayer may—</w:t>
            </w:r>
          </w:p>
        </w:tc>
        <w:tc>
          <w:tcPr>
            <w:tcW w:w="4146" w:type="dxa"/>
            <w:vAlign w:val="center"/>
          </w:tcPr>
          <w:p w14:paraId="29C064F2" w14:textId="59A63298" w:rsidR="00E26C5F" w:rsidRPr="00C25809" w:rsidRDefault="00E26C5F" w:rsidP="00E26C5F">
            <w:pPr>
              <w:spacing w:line="276" w:lineRule="auto"/>
              <w:jc w:val="both"/>
              <w:rPr>
                <w:rFonts w:cs="Arial"/>
                <w:color w:val="000000" w:themeColor="text1"/>
                <w:szCs w:val="22"/>
              </w:rPr>
            </w:pPr>
          </w:p>
        </w:tc>
        <w:tc>
          <w:tcPr>
            <w:tcW w:w="3533" w:type="dxa"/>
            <w:vAlign w:val="center"/>
          </w:tcPr>
          <w:p w14:paraId="54ED5248" w14:textId="47F84575" w:rsidR="00E26C5F" w:rsidRPr="00C25809" w:rsidRDefault="00E26C5F" w:rsidP="00E26C5F">
            <w:pPr>
              <w:spacing w:line="276" w:lineRule="auto"/>
              <w:jc w:val="both"/>
              <w:rPr>
                <w:rFonts w:cs="Arial"/>
                <w:color w:val="000000" w:themeColor="text1"/>
                <w:szCs w:val="22"/>
              </w:rPr>
            </w:pPr>
          </w:p>
        </w:tc>
      </w:tr>
      <w:tr w:rsidR="00E26C5F" w:rsidRPr="00C25809" w14:paraId="67203BF9" w14:textId="77777777" w:rsidTr="00E26C5F">
        <w:trPr>
          <w:trHeight w:val="340"/>
        </w:trPr>
        <w:tc>
          <w:tcPr>
            <w:tcW w:w="6429" w:type="dxa"/>
            <w:vAlign w:val="center"/>
          </w:tcPr>
          <w:p w14:paraId="09B7A056" w14:textId="48CB1A2C" w:rsidR="00E26C5F" w:rsidRPr="001C090B" w:rsidRDefault="001C090B" w:rsidP="0079711A">
            <w:pPr>
              <w:pStyle w:val="Default"/>
              <w:numPr>
                <w:ilvl w:val="0"/>
                <w:numId w:val="4"/>
              </w:numPr>
              <w:rPr>
                <w:sz w:val="23"/>
                <w:szCs w:val="23"/>
              </w:rPr>
            </w:pPr>
            <w:r>
              <w:rPr>
                <w:i/>
                <w:iCs/>
                <w:sz w:val="23"/>
                <w:szCs w:val="23"/>
              </w:rPr>
              <w:t xml:space="preserve">(a) </w:t>
            </w:r>
            <w:r>
              <w:rPr>
                <w:sz w:val="23"/>
                <w:szCs w:val="23"/>
              </w:rPr>
              <w:t>during the period commencing on 1 April 2020 and ending on 30 September 2020, in respect of provisional tax payable in terms of paragraph 21(1)</w:t>
            </w:r>
            <w:r>
              <w:rPr>
                <w:i/>
                <w:iCs/>
                <w:sz w:val="23"/>
                <w:szCs w:val="23"/>
              </w:rPr>
              <w:t xml:space="preserve">(a) </w:t>
            </w:r>
            <w:r>
              <w:rPr>
                <w:sz w:val="23"/>
                <w:szCs w:val="23"/>
              </w:rPr>
              <w:t>or 23</w:t>
            </w:r>
            <w:r>
              <w:rPr>
                <w:i/>
                <w:iCs/>
                <w:sz w:val="23"/>
                <w:szCs w:val="23"/>
              </w:rPr>
              <w:t xml:space="preserve">(a) </w:t>
            </w:r>
            <w:r>
              <w:rPr>
                <w:sz w:val="23"/>
                <w:szCs w:val="23"/>
              </w:rPr>
              <w:t xml:space="preserve">of the Fourth Schedule to the Income Tax Act due during this period, pay 15 per cent instead of one half of an amount equal to the total estimated liability (as determined in accordance with </w:t>
            </w:r>
            <w:r>
              <w:rPr>
                <w:sz w:val="23"/>
                <w:szCs w:val="23"/>
              </w:rPr>
              <w:lastRenderedPageBreak/>
              <w:t xml:space="preserve">paragraph 17 of the Fourth Schedule) for normal tax in respect of that year less the total amount of— </w:t>
            </w:r>
          </w:p>
        </w:tc>
        <w:tc>
          <w:tcPr>
            <w:tcW w:w="4146" w:type="dxa"/>
            <w:vAlign w:val="center"/>
          </w:tcPr>
          <w:p w14:paraId="648EA735" w14:textId="26DA7E47" w:rsidR="00E26C5F" w:rsidRPr="00C25809" w:rsidRDefault="00E26C5F" w:rsidP="00E26C5F">
            <w:pPr>
              <w:spacing w:line="276" w:lineRule="auto"/>
              <w:jc w:val="both"/>
              <w:rPr>
                <w:rFonts w:cs="Arial"/>
                <w:color w:val="000000" w:themeColor="text1"/>
                <w:szCs w:val="22"/>
              </w:rPr>
            </w:pPr>
          </w:p>
        </w:tc>
        <w:tc>
          <w:tcPr>
            <w:tcW w:w="3533" w:type="dxa"/>
            <w:vAlign w:val="center"/>
          </w:tcPr>
          <w:p w14:paraId="4FB17D49" w14:textId="72154B7A" w:rsidR="00E26C5F" w:rsidRPr="00C25809" w:rsidRDefault="00E26C5F" w:rsidP="00E26C5F">
            <w:pPr>
              <w:spacing w:line="276" w:lineRule="auto"/>
              <w:jc w:val="both"/>
              <w:rPr>
                <w:rFonts w:cs="Arial"/>
                <w:color w:val="000000" w:themeColor="text1"/>
                <w:szCs w:val="22"/>
              </w:rPr>
            </w:pPr>
          </w:p>
        </w:tc>
      </w:tr>
      <w:tr w:rsidR="00E26C5F" w:rsidRPr="00C25809" w14:paraId="7A09003D" w14:textId="77777777" w:rsidTr="00E26C5F">
        <w:trPr>
          <w:trHeight w:val="340"/>
        </w:trPr>
        <w:tc>
          <w:tcPr>
            <w:tcW w:w="6429" w:type="dxa"/>
            <w:vAlign w:val="center"/>
          </w:tcPr>
          <w:p w14:paraId="5AA9B338" w14:textId="4A047334" w:rsidR="00E26C5F" w:rsidRPr="00357F83" w:rsidRDefault="00357F83" w:rsidP="0079711A">
            <w:pPr>
              <w:pStyle w:val="Default"/>
              <w:numPr>
                <w:ilvl w:val="0"/>
                <w:numId w:val="5"/>
              </w:numPr>
              <w:rPr>
                <w:sz w:val="23"/>
                <w:szCs w:val="23"/>
              </w:rPr>
            </w:pPr>
            <w:r>
              <w:rPr>
                <w:sz w:val="23"/>
                <w:szCs w:val="23"/>
              </w:rPr>
              <w:t>(</w:t>
            </w:r>
            <w:proofErr w:type="spellStart"/>
            <w:r>
              <w:rPr>
                <w:sz w:val="23"/>
                <w:szCs w:val="23"/>
              </w:rPr>
              <w:t>i</w:t>
            </w:r>
            <w:proofErr w:type="spellEnd"/>
            <w:r>
              <w:rPr>
                <w:sz w:val="23"/>
                <w:szCs w:val="23"/>
              </w:rPr>
              <w:t xml:space="preserve">) any employees’ tax deducted by the taxpayer’s employer during such year; and </w:t>
            </w:r>
          </w:p>
        </w:tc>
        <w:tc>
          <w:tcPr>
            <w:tcW w:w="4146" w:type="dxa"/>
            <w:vAlign w:val="center"/>
          </w:tcPr>
          <w:p w14:paraId="3B4D5D89" w14:textId="3D0026E0" w:rsidR="00E26C5F" w:rsidRPr="00C25809" w:rsidRDefault="00E26C5F" w:rsidP="00E26C5F">
            <w:pPr>
              <w:spacing w:line="276" w:lineRule="auto"/>
              <w:jc w:val="both"/>
              <w:rPr>
                <w:rFonts w:cs="Arial"/>
                <w:color w:val="000000" w:themeColor="text1"/>
                <w:szCs w:val="22"/>
              </w:rPr>
            </w:pPr>
          </w:p>
        </w:tc>
        <w:tc>
          <w:tcPr>
            <w:tcW w:w="3533" w:type="dxa"/>
            <w:vAlign w:val="center"/>
          </w:tcPr>
          <w:p w14:paraId="220A23B8" w14:textId="15970C4A" w:rsidR="00E26C5F" w:rsidRPr="00C25809" w:rsidRDefault="00E26C5F" w:rsidP="00E26C5F">
            <w:pPr>
              <w:spacing w:line="276" w:lineRule="auto"/>
              <w:jc w:val="both"/>
              <w:rPr>
                <w:rFonts w:cs="Arial"/>
                <w:color w:val="000000" w:themeColor="text1"/>
                <w:szCs w:val="22"/>
              </w:rPr>
            </w:pPr>
          </w:p>
        </w:tc>
      </w:tr>
      <w:tr w:rsidR="00E26C5F" w:rsidRPr="00C25809" w14:paraId="539E55EC" w14:textId="77777777" w:rsidTr="00E26C5F">
        <w:trPr>
          <w:trHeight w:val="340"/>
        </w:trPr>
        <w:tc>
          <w:tcPr>
            <w:tcW w:w="6429" w:type="dxa"/>
            <w:vAlign w:val="center"/>
          </w:tcPr>
          <w:p w14:paraId="465B1F6B" w14:textId="312C7A81" w:rsidR="00E26C5F" w:rsidRPr="00357F83" w:rsidRDefault="00357F83" w:rsidP="0079711A">
            <w:pPr>
              <w:pStyle w:val="Default"/>
              <w:numPr>
                <w:ilvl w:val="0"/>
                <w:numId w:val="6"/>
              </w:numPr>
              <w:rPr>
                <w:sz w:val="23"/>
                <w:szCs w:val="23"/>
              </w:rPr>
            </w:pPr>
            <w:r>
              <w:rPr>
                <w:sz w:val="23"/>
                <w:szCs w:val="23"/>
              </w:rPr>
              <w:t>(ii) any tax proved to be payable to the government of any other country which will qualify as a rebate under section 6</w:t>
            </w:r>
            <w:r>
              <w:rPr>
                <w:i/>
                <w:iCs/>
                <w:sz w:val="23"/>
                <w:szCs w:val="23"/>
              </w:rPr>
              <w:t xml:space="preserve">quat </w:t>
            </w:r>
            <w:r>
              <w:rPr>
                <w:sz w:val="23"/>
                <w:szCs w:val="23"/>
              </w:rPr>
              <w:t xml:space="preserve">of the Income Tax Act; and </w:t>
            </w:r>
          </w:p>
        </w:tc>
        <w:tc>
          <w:tcPr>
            <w:tcW w:w="4146" w:type="dxa"/>
            <w:vAlign w:val="center"/>
          </w:tcPr>
          <w:p w14:paraId="30D11E12" w14:textId="151916C2" w:rsidR="00E26C5F" w:rsidRPr="00C25809" w:rsidRDefault="00E26C5F" w:rsidP="00E26C5F">
            <w:pPr>
              <w:spacing w:line="276" w:lineRule="auto"/>
              <w:jc w:val="both"/>
              <w:rPr>
                <w:rFonts w:cs="Arial"/>
                <w:color w:val="000000" w:themeColor="text1"/>
                <w:szCs w:val="22"/>
              </w:rPr>
            </w:pPr>
          </w:p>
        </w:tc>
        <w:tc>
          <w:tcPr>
            <w:tcW w:w="3533" w:type="dxa"/>
            <w:vAlign w:val="center"/>
          </w:tcPr>
          <w:p w14:paraId="617B55FB" w14:textId="77777777" w:rsidR="00E26C5F" w:rsidRPr="00C25809" w:rsidRDefault="00E26C5F" w:rsidP="00E26C5F">
            <w:pPr>
              <w:spacing w:line="276" w:lineRule="auto"/>
              <w:jc w:val="both"/>
              <w:rPr>
                <w:rFonts w:cs="Arial"/>
                <w:color w:val="000000" w:themeColor="text1"/>
                <w:szCs w:val="22"/>
              </w:rPr>
            </w:pPr>
          </w:p>
        </w:tc>
      </w:tr>
      <w:tr w:rsidR="00E26C5F" w:rsidRPr="00C25809" w14:paraId="251F57CD" w14:textId="77777777" w:rsidTr="00E26C5F">
        <w:trPr>
          <w:trHeight w:val="340"/>
        </w:trPr>
        <w:tc>
          <w:tcPr>
            <w:tcW w:w="6429" w:type="dxa"/>
            <w:vAlign w:val="center"/>
          </w:tcPr>
          <w:p w14:paraId="1366BC59" w14:textId="2762E45D" w:rsidR="00E26C5F" w:rsidRPr="00A4176F" w:rsidRDefault="00A4176F" w:rsidP="0079711A">
            <w:pPr>
              <w:pStyle w:val="Default"/>
              <w:numPr>
                <w:ilvl w:val="0"/>
                <w:numId w:val="7"/>
              </w:numPr>
              <w:rPr>
                <w:sz w:val="23"/>
                <w:szCs w:val="23"/>
              </w:rPr>
            </w:pPr>
            <w:r>
              <w:rPr>
                <w:i/>
                <w:iCs/>
                <w:sz w:val="23"/>
                <w:szCs w:val="23"/>
              </w:rPr>
              <w:t xml:space="preserve">(b) </w:t>
            </w:r>
            <w:r>
              <w:rPr>
                <w:sz w:val="23"/>
                <w:szCs w:val="23"/>
              </w:rPr>
              <w:t>during the period commencing on 1 April 2020 and ending on 31 March 2021, in respect of provisional tax payable in terms of paragraph 21(1)</w:t>
            </w:r>
            <w:r>
              <w:rPr>
                <w:i/>
                <w:iCs/>
                <w:sz w:val="23"/>
                <w:szCs w:val="23"/>
              </w:rPr>
              <w:t xml:space="preserve">(b) </w:t>
            </w:r>
            <w:r>
              <w:rPr>
                <w:sz w:val="23"/>
                <w:szCs w:val="23"/>
              </w:rPr>
              <w:t>or 23</w:t>
            </w:r>
            <w:r>
              <w:rPr>
                <w:i/>
                <w:iCs/>
                <w:sz w:val="23"/>
                <w:szCs w:val="23"/>
              </w:rPr>
              <w:t xml:space="preserve">(b) </w:t>
            </w:r>
            <w:r>
              <w:rPr>
                <w:sz w:val="23"/>
                <w:szCs w:val="23"/>
              </w:rPr>
              <w:t xml:space="preserve">of the Fourth Schedule, pay 65 per cent instead of an amount equal to the total estimated liability (as finally determined in accordance with paragraph 17 of the Fourth Schedule) for normal tax in respect of that year less the total amount of— </w:t>
            </w:r>
          </w:p>
        </w:tc>
        <w:tc>
          <w:tcPr>
            <w:tcW w:w="4146" w:type="dxa"/>
            <w:vAlign w:val="center"/>
          </w:tcPr>
          <w:p w14:paraId="675461DF" w14:textId="77777777" w:rsidR="00E26C5F" w:rsidRPr="00C25809" w:rsidRDefault="00E26C5F" w:rsidP="00E26C5F">
            <w:pPr>
              <w:spacing w:line="276" w:lineRule="auto"/>
              <w:jc w:val="both"/>
              <w:rPr>
                <w:rFonts w:cs="Arial"/>
                <w:color w:val="000000" w:themeColor="text1"/>
                <w:szCs w:val="22"/>
              </w:rPr>
            </w:pPr>
          </w:p>
        </w:tc>
        <w:tc>
          <w:tcPr>
            <w:tcW w:w="3533" w:type="dxa"/>
            <w:vAlign w:val="center"/>
          </w:tcPr>
          <w:p w14:paraId="2B3B830D" w14:textId="77777777" w:rsidR="00E26C5F" w:rsidRPr="00C25809" w:rsidRDefault="00E26C5F" w:rsidP="00E26C5F">
            <w:pPr>
              <w:spacing w:line="276" w:lineRule="auto"/>
              <w:jc w:val="both"/>
              <w:rPr>
                <w:rFonts w:cs="Arial"/>
                <w:color w:val="000000" w:themeColor="text1"/>
                <w:szCs w:val="22"/>
              </w:rPr>
            </w:pPr>
          </w:p>
        </w:tc>
      </w:tr>
      <w:tr w:rsidR="00357F83" w:rsidRPr="00C25809" w14:paraId="431CF149" w14:textId="77777777" w:rsidTr="00E26C5F">
        <w:trPr>
          <w:trHeight w:val="340"/>
        </w:trPr>
        <w:tc>
          <w:tcPr>
            <w:tcW w:w="6429" w:type="dxa"/>
            <w:vAlign w:val="center"/>
          </w:tcPr>
          <w:p w14:paraId="3C267D85" w14:textId="11F85AF5" w:rsidR="00357F83" w:rsidRPr="00A4176F" w:rsidRDefault="00A4176F" w:rsidP="0079711A">
            <w:pPr>
              <w:pStyle w:val="Default"/>
              <w:numPr>
                <w:ilvl w:val="0"/>
                <w:numId w:val="8"/>
              </w:numPr>
              <w:rPr>
                <w:sz w:val="23"/>
                <w:szCs w:val="23"/>
              </w:rPr>
            </w:pPr>
            <w:r>
              <w:rPr>
                <w:sz w:val="23"/>
                <w:szCs w:val="23"/>
              </w:rPr>
              <w:t>(</w:t>
            </w:r>
            <w:proofErr w:type="spellStart"/>
            <w:r>
              <w:rPr>
                <w:sz w:val="23"/>
                <w:szCs w:val="23"/>
              </w:rPr>
              <w:t>i</w:t>
            </w:r>
            <w:proofErr w:type="spellEnd"/>
            <w:r>
              <w:rPr>
                <w:sz w:val="23"/>
                <w:szCs w:val="23"/>
              </w:rPr>
              <w:t xml:space="preserve">) any amount paid within the period ending six months after the commencement of the relevant year of assessment; </w:t>
            </w:r>
          </w:p>
        </w:tc>
        <w:tc>
          <w:tcPr>
            <w:tcW w:w="4146" w:type="dxa"/>
            <w:vAlign w:val="center"/>
          </w:tcPr>
          <w:p w14:paraId="2BAA3E09" w14:textId="77777777" w:rsidR="00357F83" w:rsidRPr="00C25809" w:rsidRDefault="00357F83" w:rsidP="00E26C5F">
            <w:pPr>
              <w:spacing w:line="276" w:lineRule="auto"/>
              <w:jc w:val="both"/>
              <w:rPr>
                <w:rFonts w:cs="Arial"/>
                <w:color w:val="000000" w:themeColor="text1"/>
                <w:szCs w:val="22"/>
              </w:rPr>
            </w:pPr>
          </w:p>
        </w:tc>
        <w:tc>
          <w:tcPr>
            <w:tcW w:w="3533" w:type="dxa"/>
            <w:vAlign w:val="center"/>
          </w:tcPr>
          <w:p w14:paraId="3D1AAAF3" w14:textId="77777777" w:rsidR="00357F83" w:rsidRPr="00C25809" w:rsidRDefault="00357F83" w:rsidP="00E26C5F">
            <w:pPr>
              <w:spacing w:line="276" w:lineRule="auto"/>
              <w:jc w:val="both"/>
              <w:rPr>
                <w:rFonts w:cs="Arial"/>
                <w:color w:val="000000" w:themeColor="text1"/>
                <w:szCs w:val="22"/>
              </w:rPr>
            </w:pPr>
          </w:p>
        </w:tc>
      </w:tr>
      <w:tr w:rsidR="00357F83" w:rsidRPr="00C25809" w14:paraId="08927E9D" w14:textId="77777777" w:rsidTr="00E26C5F">
        <w:trPr>
          <w:trHeight w:val="340"/>
        </w:trPr>
        <w:tc>
          <w:tcPr>
            <w:tcW w:w="6429" w:type="dxa"/>
            <w:vAlign w:val="center"/>
          </w:tcPr>
          <w:p w14:paraId="48616286" w14:textId="76129C65" w:rsidR="00357F83" w:rsidRPr="00A4176F" w:rsidRDefault="00A4176F" w:rsidP="0079711A">
            <w:pPr>
              <w:pStyle w:val="Default"/>
              <w:numPr>
                <w:ilvl w:val="0"/>
                <w:numId w:val="9"/>
              </w:numPr>
              <w:rPr>
                <w:sz w:val="23"/>
                <w:szCs w:val="23"/>
              </w:rPr>
            </w:pPr>
            <w:r>
              <w:rPr>
                <w:sz w:val="23"/>
                <w:szCs w:val="23"/>
              </w:rPr>
              <w:t xml:space="preserve">(ii) any employees’ tax deducted by the </w:t>
            </w:r>
            <w:proofErr w:type="gramStart"/>
            <w:r>
              <w:rPr>
                <w:sz w:val="23"/>
                <w:szCs w:val="23"/>
              </w:rPr>
              <w:t>taxpayers</w:t>
            </w:r>
            <w:proofErr w:type="gramEnd"/>
            <w:r>
              <w:rPr>
                <w:sz w:val="23"/>
                <w:szCs w:val="23"/>
              </w:rPr>
              <w:t xml:space="preserve"> employer during such year; and </w:t>
            </w:r>
          </w:p>
        </w:tc>
        <w:tc>
          <w:tcPr>
            <w:tcW w:w="4146" w:type="dxa"/>
            <w:vAlign w:val="center"/>
          </w:tcPr>
          <w:p w14:paraId="5B0D82D3" w14:textId="77777777" w:rsidR="00357F83" w:rsidRPr="00C25809" w:rsidRDefault="00357F83" w:rsidP="00E26C5F">
            <w:pPr>
              <w:spacing w:line="276" w:lineRule="auto"/>
              <w:jc w:val="both"/>
              <w:rPr>
                <w:rFonts w:cs="Arial"/>
                <w:color w:val="000000" w:themeColor="text1"/>
                <w:szCs w:val="22"/>
              </w:rPr>
            </w:pPr>
          </w:p>
        </w:tc>
        <w:tc>
          <w:tcPr>
            <w:tcW w:w="3533" w:type="dxa"/>
            <w:vAlign w:val="center"/>
          </w:tcPr>
          <w:p w14:paraId="3060B1D1" w14:textId="77777777" w:rsidR="00357F83" w:rsidRPr="00C25809" w:rsidRDefault="00357F83" w:rsidP="00E26C5F">
            <w:pPr>
              <w:spacing w:line="276" w:lineRule="auto"/>
              <w:jc w:val="both"/>
              <w:rPr>
                <w:rFonts w:cs="Arial"/>
                <w:color w:val="000000" w:themeColor="text1"/>
                <w:szCs w:val="22"/>
              </w:rPr>
            </w:pPr>
          </w:p>
        </w:tc>
      </w:tr>
      <w:tr w:rsidR="00357F83" w:rsidRPr="00C25809" w14:paraId="6E04415D" w14:textId="77777777" w:rsidTr="00E26C5F">
        <w:trPr>
          <w:trHeight w:val="340"/>
        </w:trPr>
        <w:tc>
          <w:tcPr>
            <w:tcW w:w="6429" w:type="dxa"/>
            <w:vAlign w:val="center"/>
          </w:tcPr>
          <w:p w14:paraId="770FFEC9" w14:textId="7E4249A1" w:rsidR="00357F83" w:rsidRPr="00A4176F" w:rsidRDefault="00A4176F" w:rsidP="0079711A">
            <w:pPr>
              <w:pStyle w:val="Default"/>
              <w:numPr>
                <w:ilvl w:val="0"/>
                <w:numId w:val="10"/>
              </w:numPr>
              <w:rPr>
                <w:sz w:val="23"/>
                <w:szCs w:val="23"/>
              </w:rPr>
            </w:pPr>
            <w:r>
              <w:rPr>
                <w:sz w:val="23"/>
                <w:szCs w:val="23"/>
              </w:rPr>
              <w:t>(iii) any tax proved to be payable to the government of any other country which will qualify as a rebate under section 6</w:t>
            </w:r>
            <w:r>
              <w:rPr>
                <w:i/>
                <w:iCs/>
                <w:sz w:val="23"/>
                <w:szCs w:val="23"/>
              </w:rPr>
              <w:t xml:space="preserve">quat </w:t>
            </w:r>
            <w:r>
              <w:rPr>
                <w:sz w:val="23"/>
                <w:szCs w:val="23"/>
              </w:rPr>
              <w:t xml:space="preserve">of the Income Tax Act. </w:t>
            </w:r>
          </w:p>
        </w:tc>
        <w:tc>
          <w:tcPr>
            <w:tcW w:w="4146" w:type="dxa"/>
            <w:vAlign w:val="center"/>
          </w:tcPr>
          <w:p w14:paraId="3BAE563D" w14:textId="77777777" w:rsidR="00357F83" w:rsidRPr="00C25809" w:rsidRDefault="00357F83" w:rsidP="00E26C5F">
            <w:pPr>
              <w:spacing w:line="276" w:lineRule="auto"/>
              <w:jc w:val="both"/>
              <w:rPr>
                <w:rFonts w:cs="Arial"/>
                <w:color w:val="000000" w:themeColor="text1"/>
                <w:szCs w:val="22"/>
              </w:rPr>
            </w:pPr>
          </w:p>
        </w:tc>
        <w:tc>
          <w:tcPr>
            <w:tcW w:w="3533" w:type="dxa"/>
            <w:vAlign w:val="center"/>
          </w:tcPr>
          <w:p w14:paraId="2A2F2752" w14:textId="77777777" w:rsidR="00357F83" w:rsidRPr="00C25809" w:rsidRDefault="00357F83" w:rsidP="00E26C5F">
            <w:pPr>
              <w:spacing w:line="276" w:lineRule="auto"/>
              <w:jc w:val="both"/>
              <w:rPr>
                <w:rFonts w:cs="Arial"/>
                <w:color w:val="000000" w:themeColor="text1"/>
                <w:szCs w:val="22"/>
              </w:rPr>
            </w:pPr>
          </w:p>
        </w:tc>
      </w:tr>
      <w:tr w:rsidR="00906A92" w:rsidRPr="00C25809" w14:paraId="4EE0F0BC" w14:textId="77777777" w:rsidTr="00E26C5F">
        <w:trPr>
          <w:trHeight w:val="340"/>
        </w:trPr>
        <w:tc>
          <w:tcPr>
            <w:tcW w:w="6429" w:type="dxa"/>
            <w:vAlign w:val="center"/>
          </w:tcPr>
          <w:p w14:paraId="3BAD79C4" w14:textId="747507B6" w:rsidR="00906A92" w:rsidRDefault="00906A92" w:rsidP="0079711A">
            <w:pPr>
              <w:pStyle w:val="Default"/>
              <w:numPr>
                <w:ilvl w:val="0"/>
                <w:numId w:val="10"/>
              </w:numPr>
              <w:rPr>
                <w:sz w:val="23"/>
                <w:szCs w:val="23"/>
              </w:rPr>
            </w:pPr>
            <w:r>
              <w:rPr>
                <w:sz w:val="23"/>
                <w:szCs w:val="23"/>
              </w:rPr>
              <w:t>(2) Provisional tax deferred in terms of subsection (1) will be due and payable by the qualifying taxpayer on the effective date, referred to in section 89</w:t>
            </w:r>
            <w:r>
              <w:rPr>
                <w:i/>
                <w:iCs/>
                <w:sz w:val="23"/>
                <w:szCs w:val="23"/>
              </w:rPr>
              <w:t xml:space="preserve">quat </w:t>
            </w:r>
            <w:r>
              <w:rPr>
                <w:sz w:val="23"/>
                <w:szCs w:val="23"/>
              </w:rPr>
              <w:t xml:space="preserve">of the Income Tax Act, by when additional provisional tax payments may be made </w:t>
            </w:r>
            <w:r>
              <w:rPr>
                <w:sz w:val="23"/>
                <w:szCs w:val="23"/>
              </w:rPr>
              <w:lastRenderedPageBreak/>
              <w:t>under paragraph 23A(1) of the Fourth Schedule, for the year of assessment to which the provisional tax deferred relates.</w:t>
            </w:r>
          </w:p>
        </w:tc>
        <w:tc>
          <w:tcPr>
            <w:tcW w:w="4146" w:type="dxa"/>
            <w:vAlign w:val="center"/>
          </w:tcPr>
          <w:p w14:paraId="0925377D" w14:textId="77777777" w:rsidR="00906A92" w:rsidRPr="00C25809" w:rsidRDefault="00906A92" w:rsidP="00E26C5F">
            <w:pPr>
              <w:spacing w:line="276" w:lineRule="auto"/>
              <w:jc w:val="both"/>
              <w:rPr>
                <w:rFonts w:cs="Arial"/>
                <w:color w:val="000000" w:themeColor="text1"/>
                <w:szCs w:val="22"/>
              </w:rPr>
            </w:pPr>
          </w:p>
        </w:tc>
        <w:tc>
          <w:tcPr>
            <w:tcW w:w="3533" w:type="dxa"/>
            <w:vAlign w:val="center"/>
          </w:tcPr>
          <w:p w14:paraId="73CE5D5F" w14:textId="77777777" w:rsidR="00906A92" w:rsidRPr="00C25809" w:rsidRDefault="00906A92" w:rsidP="00E26C5F">
            <w:pPr>
              <w:spacing w:line="276" w:lineRule="auto"/>
              <w:jc w:val="both"/>
              <w:rPr>
                <w:rFonts w:cs="Arial"/>
                <w:color w:val="000000" w:themeColor="text1"/>
                <w:szCs w:val="22"/>
              </w:rPr>
            </w:pPr>
          </w:p>
        </w:tc>
      </w:tr>
      <w:tr w:rsidR="00906A92" w:rsidRPr="00C25809" w14:paraId="0D175AFD" w14:textId="77777777" w:rsidTr="00E26C5F">
        <w:trPr>
          <w:trHeight w:val="340"/>
        </w:trPr>
        <w:tc>
          <w:tcPr>
            <w:tcW w:w="6429" w:type="dxa"/>
            <w:vAlign w:val="center"/>
          </w:tcPr>
          <w:p w14:paraId="26803371" w14:textId="62DD53F0" w:rsidR="00906A92" w:rsidRDefault="00906A92" w:rsidP="0079711A">
            <w:pPr>
              <w:pStyle w:val="Default"/>
              <w:numPr>
                <w:ilvl w:val="0"/>
                <w:numId w:val="10"/>
              </w:numPr>
              <w:rPr>
                <w:sz w:val="23"/>
                <w:szCs w:val="23"/>
              </w:rPr>
            </w:pPr>
            <w:r>
              <w:rPr>
                <w:sz w:val="23"/>
                <w:szCs w:val="23"/>
              </w:rPr>
              <w:t>(3) No penalty in terms of paragraph 20 or 27 of the Fourth Schedule will be levied in respect of provisional tax payments deferred in terms of subsection (1).</w:t>
            </w:r>
          </w:p>
        </w:tc>
        <w:tc>
          <w:tcPr>
            <w:tcW w:w="4146" w:type="dxa"/>
            <w:vAlign w:val="center"/>
          </w:tcPr>
          <w:p w14:paraId="1F42330B" w14:textId="77777777" w:rsidR="00906A92" w:rsidRPr="00C25809" w:rsidRDefault="00906A92" w:rsidP="00E26C5F">
            <w:pPr>
              <w:spacing w:line="276" w:lineRule="auto"/>
              <w:jc w:val="both"/>
              <w:rPr>
                <w:rFonts w:cs="Arial"/>
                <w:color w:val="000000" w:themeColor="text1"/>
                <w:szCs w:val="22"/>
              </w:rPr>
            </w:pPr>
          </w:p>
        </w:tc>
        <w:tc>
          <w:tcPr>
            <w:tcW w:w="3533" w:type="dxa"/>
            <w:vAlign w:val="center"/>
          </w:tcPr>
          <w:p w14:paraId="49AD014A" w14:textId="77777777" w:rsidR="00906A92" w:rsidRPr="00C25809" w:rsidRDefault="00906A92" w:rsidP="00E26C5F">
            <w:pPr>
              <w:spacing w:line="276" w:lineRule="auto"/>
              <w:jc w:val="both"/>
              <w:rPr>
                <w:rFonts w:cs="Arial"/>
                <w:color w:val="000000" w:themeColor="text1"/>
                <w:szCs w:val="22"/>
              </w:rPr>
            </w:pPr>
          </w:p>
        </w:tc>
      </w:tr>
      <w:tr w:rsidR="00906A92" w:rsidRPr="00C25809" w14:paraId="31751A0C" w14:textId="77777777" w:rsidTr="00E26C5F">
        <w:trPr>
          <w:trHeight w:val="340"/>
        </w:trPr>
        <w:tc>
          <w:tcPr>
            <w:tcW w:w="6429" w:type="dxa"/>
            <w:vAlign w:val="center"/>
          </w:tcPr>
          <w:p w14:paraId="540A4CFD" w14:textId="1847EB78" w:rsidR="00906A92" w:rsidRDefault="00906A92" w:rsidP="0079711A">
            <w:pPr>
              <w:pStyle w:val="Default"/>
              <w:numPr>
                <w:ilvl w:val="0"/>
                <w:numId w:val="10"/>
              </w:numPr>
              <w:rPr>
                <w:sz w:val="23"/>
                <w:szCs w:val="23"/>
              </w:rPr>
            </w:pPr>
            <w:r>
              <w:rPr>
                <w:sz w:val="23"/>
                <w:szCs w:val="23"/>
              </w:rPr>
              <w:t>(4) No interest in terms of section 89</w:t>
            </w:r>
            <w:proofErr w:type="gramStart"/>
            <w:r>
              <w:rPr>
                <w:i/>
                <w:iCs/>
                <w:sz w:val="23"/>
                <w:szCs w:val="23"/>
              </w:rPr>
              <w:t>bis</w:t>
            </w:r>
            <w:r>
              <w:rPr>
                <w:sz w:val="23"/>
                <w:szCs w:val="23"/>
              </w:rPr>
              <w:t>(</w:t>
            </w:r>
            <w:proofErr w:type="gramEnd"/>
            <w:r>
              <w:rPr>
                <w:sz w:val="23"/>
                <w:szCs w:val="23"/>
              </w:rPr>
              <w:t>2) of the Income Tax Act will be charged in respect of provisional tax payments deferred in terms of subsection (1).</w:t>
            </w:r>
          </w:p>
        </w:tc>
        <w:tc>
          <w:tcPr>
            <w:tcW w:w="4146" w:type="dxa"/>
            <w:vAlign w:val="center"/>
          </w:tcPr>
          <w:p w14:paraId="2A385EC7" w14:textId="77777777" w:rsidR="00906A92" w:rsidRPr="00C25809" w:rsidRDefault="00906A92" w:rsidP="00E26C5F">
            <w:pPr>
              <w:spacing w:line="276" w:lineRule="auto"/>
              <w:jc w:val="both"/>
              <w:rPr>
                <w:rFonts w:cs="Arial"/>
                <w:color w:val="000000" w:themeColor="text1"/>
                <w:szCs w:val="22"/>
              </w:rPr>
            </w:pPr>
          </w:p>
        </w:tc>
        <w:tc>
          <w:tcPr>
            <w:tcW w:w="3533" w:type="dxa"/>
            <w:vAlign w:val="center"/>
          </w:tcPr>
          <w:p w14:paraId="4F98BC1A" w14:textId="77777777" w:rsidR="00906A92" w:rsidRPr="00C25809" w:rsidRDefault="00906A92" w:rsidP="00E26C5F">
            <w:pPr>
              <w:spacing w:line="276" w:lineRule="auto"/>
              <w:jc w:val="both"/>
              <w:rPr>
                <w:rFonts w:cs="Arial"/>
                <w:color w:val="000000" w:themeColor="text1"/>
                <w:szCs w:val="22"/>
              </w:rPr>
            </w:pPr>
          </w:p>
        </w:tc>
      </w:tr>
      <w:tr w:rsidR="00357F83" w:rsidRPr="00C25809" w14:paraId="432CC8B8" w14:textId="77777777" w:rsidTr="00E26C5F">
        <w:trPr>
          <w:trHeight w:val="340"/>
        </w:trPr>
        <w:tc>
          <w:tcPr>
            <w:tcW w:w="6429" w:type="dxa"/>
            <w:vAlign w:val="center"/>
          </w:tcPr>
          <w:p w14:paraId="344C7F0D" w14:textId="75B8D361" w:rsidR="00357F83" w:rsidRPr="00C25809" w:rsidRDefault="00834D43" w:rsidP="00E26C5F">
            <w:pPr>
              <w:spacing w:line="276" w:lineRule="auto"/>
              <w:jc w:val="both"/>
              <w:rPr>
                <w:rFonts w:cs="Arial"/>
                <w:color w:val="000000" w:themeColor="text1"/>
                <w:szCs w:val="22"/>
                <w:lang w:val="en-ZA"/>
              </w:rPr>
            </w:pPr>
            <w:r>
              <w:rPr>
                <w:sz w:val="23"/>
                <w:szCs w:val="23"/>
              </w:rPr>
              <w:t>(5) The amounts due in terms of subparagraph (2) are subject to interest under section 89</w:t>
            </w:r>
            <w:r>
              <w:rPr>
                <w:i/>
                <w:iCs/>
                <w:sz w:val="23"/>
                <w:szCs w:val="23"/>
              </w:rPr>
              <w:t xml:space="preserve">quat </w:t>
            </w:r>
            <w:r>
              <w:rPr>
                <w:sz w:val="23"/>
                <w:szCs w:val="23"/>
              </w:rPr>
              <w:t>of the Income Tax Act.</w:t>
            </w:r>
          </w:p>
        </w:tc>
        <w:tc>
          <w:tcPr>
            <w:tcW w:w="4146" w:type="dxa"/>
            <w:vAlign w:val="center"/>
          </w:tcPr>
          <w:p w14:paraId="75B2EFB5" w14:textId="77777777" w:rsidR="00357F83" w:rsidRPr="00C25809" w:rsidRDefault="00357F83" w:rsidP="00E26C5F">
            <w:pPr>
              <w:spacing w:line="276" w:lineRule="auto"/>
              <w:jc w:val="both"/>
              <w:rPr>
                <w:rFonts w:cs="Arial"/>
                <w:color w:val="000000" w:themeColor="text1"/>
                <w:szCs w:val="22"/>
              </w:rPr>
            </w:pPr>
          </w:p>
        </w:tc>
        <w:tc>
          <w:tcPr>
            <w:tcW w:w="3533" w:type="dxa"/>
            <w:vAlign w:val="center"/>
          </w:tcPr>
          <w:p w14:paraId="6CA2F8B9" w14:textId="77777777" w:rsidR="00357F83" w:rsidRPr="00C25809" w:rsidRDefault="00357F83" w:rsidP="00E26C5F">
            <w:pPr>
              <w:spacing w:line="276" w:lineRule="auto"/>
              <w:jc w:val="both"/>
              <w:rPr>
                <w:rFonts w:cs="Arial"/>
                <w:color w:val="000000" w:themeColor="text1"/>
                <w:szCs w:val="22"/>
              </w:rPr>
            </w:pPr>
          </w:p>
        </w:tc>
      </w:tr>
      <w:tr w:rsidR="00E26C5F" w:rsidRPr="00C25809" w14:paraId="742FE722" w14:textId="77777777" w:rsidTr="00E26C5F">
        <w:trPr>
          <w:trHeight w:val="340"/>
        </w:trPr>
        <w:tc>
          <w:tcPr>
            <w:tcW w:w="14108" w:type="dxa"/>
            <w:gridSpan w:val="3"/>
            <w:shd w:val="clear" w:color="auto" w:fill="C5E0B3" w:themeFill="accent6" w:themeFillTint="66"/>
            <w:vAlign w:val="center"/>
          </w:tcPr>
          <w:p w14:paraId="25A2DE1E" w14:textId="0B9C9D3B" w:rsidR="00E26C5F" w:rsidRPr="00C25809" w:rsidRDefault="00834D43" w:rsidP="00E26C5F">
            <w:pPr>
              <w:spacing w:line="276" w:lineRule="auto"/>
              <w:jc w:val="both"/>
              <w:rPr>
                <w:rFonts w:cs="Arial"/>
                <w:b/>
                <w:color w:val="000000" w:themeColor="text1"/>
                <w:szCs w:val="22"/>
                <w:lang w:val="en-ZA"/>
              </w:rPr>
            </w:pPr>
            <w:r>
              <w:rPr>
                <w:b/>
                <w:bCs/>
                <w:sz w:val="23"/>
                <w:szCs w:val="23"/>
              </w:rPr>
              <w:t>Deferral of interim payments</w:t>
            </w:r>
          </w:p>
        </w:tc>
      </w:tr>
      <w:tr w:rsidR="00E26C5F" w:rsidRPr="00C25809" w14:paraId="7F819A86" w14:textId="77777777" w:rsidTr="00E26C5F">
        <w:trPr>
          <w:trHeight w:val="340"/>
        </w:trPr>
        <w:tc>
          <w:tcPr>
            <w:tcW w:w="6429" w:type="dxa"/>
            <w:vAlign w:val="center"/>
          </w:tcPr>
          <w:p w14:paraId="6CC2F311" w14:textId="7900B492" w:rsidR="00E26C5F" w:rsidRPr="00C25809" w:rsidRDefault="00834D43" w:rsidP="00E26C5F">
            <w:pPr>
              <w:spacing w:line="276" w:lineRule="auto"/>
              <w:jc w:val="both"/>
              <w:rPr>
                <w:rFonts w:cs="Arial"/>
                <w:b/>
                <w:color w:val="000000" w:themeColor="text1"/>
                <w:szCs w:val="22"/>
                <w:lang w:val="en-ZA"/>
              </w:rPr>
            </w:pPr>
            <w:r>
              <w:rPr>
                <w:b/>
                <w:bCs/>
                <w:sz w:val="23"/>
                <w:szCs w:val="23"/>
              </w:rPr>
              <w:t xml:space="preserve">4. </w:t>
            </w:r>
            <w:r>
              <w:rPr>
                <w:sz w:val="23"/>
                <w:szCs w:val="23"/>
              </w:rPr>
              <w:t>(1) A qualifying micro business may—</w:t>
            </w:r>
          </w:p>
        </w:tc>
        <w:tc>
          <w:tcPr>
            <w:tcW w:w="4146" w:type="dxa"/>
            <w:vAlign w:val="center"/>
          </w:tcPr>
          <w:p w14:paraId="0DF3CCCA" w14:textId="522150EA" w:rsidR="00E26C5F" w:rsidRPr="00C25809" w:rsidRDefault="00E26C5F" w:rsidP="00E26C5F">
            <w:pPr>
              <w:spacing w:line="276" w:lineRule="auto"/>
              <w:jc w:val="both"/>
              <w:rPr>
                <w:rFonts w:cs="Arial"/>
                <w:color w:val="000000" w:themeColor="text1"/>
                <w:szCs w:val="22"/>
              </w:rPr>
            </w:pPr>
          </w:p>
        </w:tc>
        <w:tc>
          <w:tcPr>
            <w:tcW w:w="3533" w:type="dxa"/>
            <w:vAlign w:val="center"/>
          </w:tcPr>
          <w:p w14:paraId="5D040D5D" w14:textId="77777777" w:rsidR="00E26C5F" w:rsidRPr="00C25809" w:rsidRDefault="00E26C5F" w:rsidP="00E26C5F">
            <w:pPr>
              <w:spacing w:line="276" w:lineRule="auto"/>
              <w:jc w:val="both"/>
              <w:rPr>
                <w:rFonts w:cs="Arial"/>
                <w:color w:val="000000" w:themeColor="text1"/>
                <w:szCs w:val="22"/>
              </w:rPr>
            </w:pPr>
          </w:p>
        </w:tc>
      </w:tr>
      <w:tr w:rsidR="00834D43" w:rsidRPr="00C25809" w14:paraId="075ECEE7" w14:textId="77777777" w:rsidTr="00E26C5F">
        <w:trPr>
          <w:trHeight w:val="340"/>
        </w:trPr>
        <w:tc>
          <w:tcPr>
            <w:tcW w:w="6429" w:type="dxa"/>
            <w:vAlign w:val="center"/>
          </w:tcPr>
          <w:p w14:paraId="5E183915" w14:textId="11FC26BF" w:rsidR="00834D43" w:rsidRPr="00C25809" w:rsidRDefault="00834D43" w:rsidP="00E26C5F">
            <w:pPr>
              <w:spacing w:line="276" w:lineRule="auto"/>
              <w:jc w:val="both"/>
              <w:rPr>
                <w:rFonts w:cs="Arial"/>
                <w:b/>
                <w:color w:val="000000" w:themeColor="text1"/>
                <w:szCs w:val="22"/>
                <w:lang w:val="en-ZA"/>
              </w:rPr>
            </w:pPr>
            <w:r>
              <w:rPr>
                <w:i/>
                <w:iCs/>
                <w:sz w:val="23"/>
                <w:szCs w:val="23"/>
              </w:rPr>
              <w:t xml:space="preserve">(a) </w:t>
            </w:r>
            <w:r>
              <w:rPr>
                <w:sz w:val="23"/>
                <w:szCs w:val="23"/>
              </w:rPr>
              <w:t>during the period commencing on 1 April 2020 and ending on 31 August 2020, in respect of interim payments payable in terms of paragraph 11(1) of the Sixth Schedule to the Income Tax Act, pay 15 per cent instead of 50 per cent of the amount of tax so calculated in terms of that paragraph; and</w:t>
            </w:r>
          </w:p>
        </w:tc>
        <w:tc>
          <w:tcPr>
            <w:tcW w:w="4146" w:type="dxa"/>
            <w:vAlign w:val="center"/>
          </w:tcPr>
          <w:p w14:paraId="6252C3AD" w14:textId="77777777" w:rsidR="00834D43" w:rsidRPr="00C25809" w:rsidRDefault="00834D43" w:rsidP="00E26C5F">
            <w:pPr>
              <w:spacing w:line="276" w:lineRule="auto"/>
              <w:jc w:val="both"/>
              <w:rPr>
                <w:rFonts w:cs="Arial"/>
                <w:color w:val="000000" w:themeColor="text1"/>
                <w:szCs w:val="22"/>
              </w:rPr>
            </w:pPr>
          </w:p>
        </w:tc>
        <w:tc>
          <w:tcPr>
            <w:tcW w:w="3533" w:type="dxa"/>
            <w:vAlign w:val="center"/>
          </w:tcPr>
          <w:p w14:paraId="1C29B704" w14:textId="77777777" w:rsidR="00834D43" w:rsidRPr="00C25809" w:rsidRDefault="00834D43" w:rsidP="00E26C5F">
            <w:pPr>
              <w:spacing w:line="276" w:lineRule="auto"/>
              <w:jc w:val="both"/>
              <w:rPr>
                <w:rFonts w:cs="Arial"/>
                <w:color w:val="000000" w:themeColor="text1"/>
                <w:szCs w:val="22"/>
              </w:rPr>
            </w:pPr>
          </w:p>
        </w:tc>
      </w:tr>
      <w:tr w:rsidR="00834D43" w:rsidRPr="00C25809" w14:paraId="63936248" w14:textId="77777777" w:rsidTr="00E26C5F">
        <w:trPr>
          <w:trHeight w:val="340"/>
        </w:trPr>
        <w:tc>
          <w:tcPr>
            <w:tcW w:w="6429" w:type="dxa"/>
            <w:vAlign w:val="center"/>
          </w:tcPr>
          <w:p w14:paraId="334530D5" w14:textId="3C0EF9E6" w:rsidR="00834D43" w:rsidRPr="00C25809" w:rsidRDefault="00301D56" w:rsidP="00E26C5F">
            <w:pPr>
              <w:spacing w:line="276" w:lineRule="auto"/>
              <w:jc w:val="both"/>
              <w:rPr>
                <w:rFonts w:cs="Arial"/>
                <w:b/>
                <w:color w:val="000000" w:themeColor="text1"/>
                <w:szCs w:val="22"/>
                <w:lang w:val="en-ZA"/>
              </w:rPr>
            </w:pPr>
            <w:r>
              <w:rPr>
                <w:i/>
                <w:iCs/>
                <w:sz w:val="23"/>
                <w:szCs w:val="23"/>
              </w:rPr>
              <w:t xml:space="preserve">b) </w:t>
            </w:r>
            <w:r>
              <w:rPr>
                <w:sz w:val="23"/>
                <w:szCs w:val="23"/>
              </w:rPr>
              <w:t xml:space="preserve">during the period commencing on 1 September 2020 and ending on 28 February 2021, in respect of interim payments payable in terms of paragraph 11(4) of the Sixth Schedule, pay 65 per cent instead of an amount equal to the amount of </w:t>
            </w:r>
            <w:r>
              <w:rPr>
                <w:sz w:val="23"/>
                <w:szCs w:val="23"/>
              </w:rPr>
              <w:lastRenderedPageBreak/>
              <w:t>tax calculated in terms of that paragraph less the amount paid in terms of paragraph 11(1) of the Sixth Schedule.</w:t>
            </w:r>
          </w:p>
        </w:tc>
        <w:tc>
          <w:tcPr>
            <w:tcW w:w="4146" w:type="dxa"/>
            <w:vAlign w:val="center"/>
          </w:tcPr>
          <w:p w14:paraId="006F1D9F" w14:textId="77777777" w:rsidR="00834D43" w:rsidRPr="00C25809" w:rsidRDefault="00834D43" w:rsidP="00E26C5F">
            <w:pPr>
              <w:spacing w:line="276" w:lineRule="auto"/>
              <w:jc w:val="both"/>
              <w:rPr>
                <w:rFonts w:cs="Arial"/>
                <w:color w:val="000000" w:themeColor="text1"/>
                <w:szCs w:val="22"/>
              </w:rPr>
            </w:pPr>
          </w:p>
        </w:tc>
        <w:tc>
          <w:tcPr>
            <w:tcW w:w="3533" w:type="dxa"/>
            <w:vAlign w:val="center"/>
          </w:tcPr>
          <w:p w14:paraId="41CFFFC1" w14:textId="77777777" w:rsidR="00834D43" w:rsidRPr="00C25809" w:rsidRDefault="00834D43" w:rsidP="00E26C5F">
            <w:pPr>
              <w:spacing w:line="276" w:lineRule="auto"/>
              <w:jc w:val="both"/>
              <w:rPr>
                <w:rFonts w:cs="Arial"/>
                <w:color w:val="000000" w:themeColor="text1"/>
                <w:szCs w:val="22"/>
              </w:rPr>
            </w:pPr>
          </w:p>
        </w:tc>
      </w:tr>
      <w:tr w:rsidR="00301D56" w:rsidRPr="00C25809" w14:paraId="59730914" w14:textId="77777777" w:rsidTr="00E26C5F">
        <w:trPr>
          <w:trHeight w:val="340"/>
        </w:trPr>
        <w:tc>
          <w:tcPr>
            <w:tcW w:w="6429" w:type="dxa"/>
            <w:vAlign w:val="center"/>
          </w:tcPr>
          <w:p w14:paraId="21CB991B" w14:textId="4BC4C9F2" w:rsidR="00301D56" w:rsidRDefault="00301D56" w:rsidP="00E26C5F">
            <w:pPr>
              <w:spacing w:line="276" w:lineRule="auto"/>
              <w:jc w:val="both"/>
              <w:rPr>
                <w:i/>
                <w:iCs/>
                <w:sz w:val="23"/>
                <w:szCs w:val="23"/>
              </w:rPr>
            </w:pPr>
            <w:r>
              <w:rPr>
                <w:sz w:val="23"/>
                <w:szCs w:val="23"/>
              </w:rPr>
              <w:t>(2) Interim payments deferred in terms of subsection (1) will be due and payable by the micro business by the date of payment as specified in a notice of assessment.</w:t>
            </w:r>
          </w:p>
        </w:tc>
        <w:tc>
          <w:tcPr>
            <w:tcW w:w="4146" w:type="dxa"/>
            <w:vAlign w:val="center"/>
          </w:tcPr>
          <w:p w14:paraId="1ABD545D" w14:textId="77777777" w:rsidR="00301D56" w:rsidRPr="00C25809" w:rsidRDefault="00301D56" w:rsidP="00E26C5F">
            <w:pPr>
              <w:spacing w:line="276" w:lineRule="auto"/>
              <w:jc w:val="both"/>
              <w:rPr>
                <w:rFonts w:cs="Arial"/>
                <w:color w:val="000000" w:themeColor="text1"/>
                <w:szCs w:val="22"/>
              </w:rPr>
            </w:pPr>
          </w:p>
        </w:tc>
        <w:tc>
          <w:tcPr>
            <w:tcW w:w="3533" w:type="dxa"/>
            <w:vAlign w:val="center"/>
          </w:tcPr>
          <w:p w14:paraId="6C5A260F" w14:textId="77777777" w:rsidR="00301D56" w:rsidRPr="00C25809" w:rsidRDefault="00301D56" w:rsidP="00E26C5F">
            <w:pPr>
              <w:spacing w:line="276" w:lineRule="auto"/>
              <w:jc w:val="both"/>
              <w:rPr>
                <w:rFonts w:cs="Arial"/>
                <w:color w:val="000000" w:themeColor="text1"/>
                <w:szCs w:val="22"/>
              </w:rPr>
            </w:pPr>
          </w:p>
        </w:tc>
      </w:tr>
      <w:tr w:rsidR="00301D56" w:rsidRPr="00C25809" w14:paraId="1465F3F0" w14:textId="77777777" w:rsidTr="00E26C5F">
        <w:trPr>
          <w:trHeight w:val="340"/>
        </w:trPr>
        <w:tc>
          <w:tcPr>
            <w:tcW w:w="6429" w:type="dxa"/>
            <w:vAlign w:val="center"/>
          </w:tcPr>
          <w:p w14:paraId="2D303961" w14:textId="2F6CCCEA" w:rsidR="00301D56" w:rsidRDefault="00301D56" w:rsidP="00E26C5F">
            <w:pPr>
              <w:spacing w:line="276" w:lineRule="auto"/>
              <w:jc w:val="both"/>
              <w:rPr>
                <w:i/>
                <w:iCs/>
                <w:sz w:val="23"/>
                <w:szCs w:val="23"/>
              </w:rPr>
            </w:pPr>
            <w:r>
              <w:rPr>
                <w:sz w:val="23"/>
                <w:szCs w:val="23"/>
              </w:rPr>
              <w:t>(3) No penalties in terms of paragraph 11(6) of the Sixth Schedule will be levied on amounts deferred in terms of subsection (1).</w:t>
            </w:r>
          </w:p>
        </w:tc>
        <w:tc>
          <w:tcPr>
            <w:tcW w:w="4146" w:type="dxa"/>
            <w:vAlign w:val="center"/>
          </w:tcPr>
          <w:p w14:paraId="2E161468" w14:textId="77777777" w:rsidR="00301D56" w:rsidRPr="00C25809" w:rsidRDefault="00301D56" w:rsidP="00E26C5F">
            <w:pPr>
              <w:spacing w:line="276" w:lineRule="auto"/>
              <w:jc w:val="both"/>
              <w:rPr>
                <w:rFonts w:cs="Arial"/>
                <w:color w:val="000000" w:themeColor="text1"/>
                <w:szCs w:val="22"/>
              </w:rPr>
            </w:pPr>
          </w:p>
        </w:tc>
        <w:tc>
          <w:tcPr>
            <w:tcW w:w="3533" w:type="dxa"/>
            <w:vAlign w:val="center"/>
          </w:tcPr>
          <w:p w14:paraId="2019AF47" w14:textId="77777777" w:rsidR="00301D56" w:rsidRPr="00C25809" w:rsidRDefault="00301D56" w:rsidP="00E26C5F">
            <w:pPr>
              <w:spacing w:line="276" w:lineRule="auto"/>
              <w:jc w:val="both"/>
              <w:rPr>
                <w:rFonts w:cs="Arial"/>
                <w:color w:val="000000" w:themeColor="text1"/>
                <w:szCs w:val="22"/>
              </w:rPr>
            </w:pPr>
          </w:p>
        </w:tc>
      </w:tr>
      <w:tr w:rsidR="00301D56" w:rsidRPr="00C25809" w14:paraId="6F1E1E7B" w14:textId="77777777" w:rsidTr="00E26C5F">
        <w:trPr>
          <w:trHeight w:val="340"/>
        </w:trPr>
        <w:tc>
          <w:tcPr>
            <w:tcW w:w="6429" w:type="dxa"/>
            <w:vAlign w:val="center"/>
          </w:tcPr>
          <w:p w14:paraId="275BDEF0" w14:textId="5194C3C0" w:rsidR="00301D56" w:rsidRDefault="00B30077" w:rsidP="00E26C5F">
            <w:pPr>
              <w:spacing w:line="276" w:lineRule="auto"/>
              <w:jc w:val="both"/>
              <w:rPr>
                <w:sz w:val="23"/>
                <w:szCs w:val="23"/>
              </w:rPr>
            </w:pPr>
            <w:r>
              <w:rPr>
                <w:sz w:val="23"/>
                <w:szCs w:val="23"/>
              </w:rPr>
              <w:t>(4) No interest in terms of paragraph 11(3) or (5) of the Sixth Schedule to the Income Tax Act will be charged in respect of interim payments deferred in terms of subsection (1).</w:t>
            </w:r>
          </w:p>
        </w:tc>
        <w:tc>
          <w:tcPr>
            <w:tcW w:w="4146" w:type="dxa"/>
            <w:vAlign w:val="center"/>
          </w:tcPr>
          <w:p w14:paraId="0A845FA7" w14:textId="77777777" w:rsidR="00301D56" w:rsidRPr="00C25809" w:rsidRDefault="00301D56" w:rsidP="00E26C5F">
            <w:pPr>
              <w:spacing w:line="276" w:lineRule="auto"/>
              <w:jc w:val="both"/>
              <w:rPr>
                <w:rFonts w:cs="Arial"/>
                <w:color w:val="000000" w:themeColor="text1"/>
                <w:szCs w:val="22"/>
              </w:rPr>
            </w:pPr>
          </w:p>
        </w:tc>
        <w:tc>
          <w:tcPr>
            <w:tcW w:w="3533" w:type="dxa"/>
            <w:vAlign w:val="center"/>
          </w:tcPr>
          <w:p w14:paraId="13564191" w14:textId="77777777" w:rsidR="00301D56" w:rsidRPr="00C25809" w:rsidRDefault="00301D56" w:rsidP="00E26C5F">
            <w:pPr>
              <w:spacing w:line="276" w:lineRule="auto"/>
              <w:jc w:val="both"/>
              <w:rPr>
                <w:rFonts w:cs="Arial"/>
                <w:color w:val="000000" w:themeColor="text1"/>
                <w:szCs w:val="22"/>
              </w:rPr>
            </w:pPr>
          </w:p>
        </w:tc>
      </w:tr>
      <w:tr w:rsidR="00301D56" w:rsidRPr="00C25809" w14:paraId="3CD407AF" w14:textId="77777777" w:rsidTr="00E26C5F">
        <w:trPr>
          <w:trHeight w:val="340"/>
        </w:trPr>
        <w:tc>
          <w:tcPr>
            <w:tcW w:w="6429" w:type="dxa"/>
            <w:vAlign w:val="center"/>
          </w:tcPr>
          <w:p w14:paraId="71844779" w14:textId="5535F292" w:rsidR="00301D56" w:rsidRDefault="00B30077" w:rsidP="00E26C5F">
            <w:pPr>
              <w:spacing w:line="276" w:lineRule="auto"/>
              <w:jc w:val="both"/>
              <w:rPr>
                <w:sz w:val="23"/>
                <w:szCs w:val="23"/>
              </w:rPr>
            </w:pPr>
            <w:r>
              <w:rPr>
                <w:sz w:val="23"/>
                <w:szCs w:val="23"/>
              </w:rPr>
              <w:t>(5) The amounts due in terms of subparagraph (2) are subject to penalties in terms of paragraph 11(6) of the Sixth Schedule and interest in terms of paragraph 11(3) or (5) of the Sixth Schedule if not paid when due.</w:t>
            </w:r>
          </w:p>
        </w:tc>
        <w:tc>
          <w:tcPr>
            <w:tcW w:w="4146" w:type="dxa"/>
            <w:vAlign w:val="center"/>
          </w:tcPr>
          <w:p w14:paraId="7AB6D148" w14:textId="77777777" w:rsidR="00301D56" w:rsidRPr="00C25809" w:rsidRDefault="00301D56" w:rsidP="00E26C5F">
            <w:pPr>
              <w:spacing w:line="276" w:lineRule="auto"/>
              <w:jc w:val="both"/>
              <w:rPr>
                <w:rFonts w:cs="Arial"/>
                <w:color w:val="000000" w:themeColor="text1"/>
                <w:szCs w:val="22"/>
              </w:rPr>
            </w:pPr>
          </w:p>
        </w:tc>
        <w:tc>
          <w:tcPr>
            <w:tcW w:w="3533" w:type="dxa"/>
            <w:vAlign w:val="center"/>
          </w:tcPr>
          <w:p w14:paraId="5287BFC0" w14:textId="77777777" w:rsidR="00301D56" w:rsidRPr="00C25809" w:rsidRDefault="00301D56" w:rsidP="00E26C5F">
            <w:pPr>
              <w:spacing w:line="276" w:lineRule="auto"/>
              <w:jc w:val="both"/>
              <w:rPr>
                <w:rFonts w:cs="Arial"/>
                <w:color w:val="000000" w:themeColor="text1"/>
                <w:szCs w:val="22"/>
              </w:rPr>
            </w:pPr>
          </w:p>
        </w:tc>
      </w:tr>
      <w:tr w:rsidR="00E26C5F" w:rsidRPr="00C25809" w14:paraId="76D27147" w14:textId="77777777" w:rsidTr="00E26C5F">
        <w:trPr>
          <w:trHeight w:val="340"/>
        </w:trPr>
        <w:tc>
          <w:tcPr>
            <w:tcW w:w="14108" w:type="dxa"/>
            <w:gridSpan w:val="3"/>
            <w:shd w:val="clear" w:color="auto" w:fill="C5E0B3" w:themeFill="accent6" w:themeFillTint="66"/>
            <w:vAlign w:val="center"/>
          </w:tcPr>
          <w:p w14:paraId="6E1A022D" w14:textId="4BE45E2C" w:rsidR="00E26C5F" w:rsidRPr="00C25809" w:rsidRDefault="00B30077" w:rsidP="00E26C5F">
            <w:pPr>
              <w:spacing w:line="276" w:lineRule="auto"/>
              <w:jc w:val="both"/>
              <w:rPr>
                <w:rFonts w:cs="Arial"/>
                <w:b/>
                <w:color w:val="000000" w:themeColor="text1"/>
                <w:szCs w:val="22"/>
              </w:rPr>
            </w:pPr>
            <w:r>
              <w:rPr>
                <w:b/>
                <w:bCs/>
                <w:sz w:val="23"/>
                <w:szCs w:val="23"/>
              </w:rPr>
              <w:t>Donations to Solidarity Fund</w:t>
            </w:r>
          </w:p>
        </w:tc>
      </w:tr>
      <w:tr w:rsidR="00E26C5F" w:rsidRPr="00C25809" w14:paraId="52B6FB64" w14:textId="77777777" w:rsidTr="00E26C5F">
        <w:trPr>
          <w:trHeight w:val="340"/>
        </w:trPr>
        <w:tc>
          <w:tcPr>
            <w:tcW w:w="6429" w:type="dxa"/>
            <w:vAlign w:val="center"/>
          </w:tcPr>
          <w:p w14:paraId="0250B798" w14:textId="1EA92F2A" w:rsidR="00E26C5F" w:rsidRPr="00C25809" w:rsidRDefault="00B30077" w:rsidP="00E26C5F">
            <w:pPr>
              <w:spacing w:line="276" w:lineRule="auto"/>
              <w:jc w:val="both"/>
              <w:rPr>
                <w:rFonts w:cs="Arial"/>
                <w:b/>
                <w:color w:val="000000" w:themeColor="text1"/>
                <w:szCs w:val="22"/>
                <w:lang w:val="en-ZA"/>
              </w:rPr>
            </w:pPr>
            <w:r>
              <w:rPr>
                <w:b/>
                <w:bCs/>
                <w:sz w:val="23"/>
                <w:szCs w:val="23"/>
              </w:rPr>
              <w:t xml:space="preserve">5. </w:t>
            </w:r>
            <w:r>
              <w:rPr>
                <w:sz w:val="23"/>
                <w:szCs w:val="23"/>
              </w:rPr>
              <w:t>An employer may, for purposes of paragraph 2(4) of the Fourth Schedule to the Income Tax Act, deduct from remuneration so much of a donation to the Solidarity Fund made by the employer on behalf of the employee either—</w:t>
            </w:r>
          </w:p>
        </w:tc>
        <w:tc>
          <w:tcPr>
            <w:tcW w:w="4146" w:type="dxa"/>
            <w:vAlign w:val="center"/>
          </w:tcPr>
          <w:p w14:paraId="6D9FED00" w14:textId="5DADEFF9" w:rsidR="00E26C5F" w:rsidRPr="00C25809" w:rsidRDefault="00E26C5F" w:rsidP="00E26C5F">
            <w:pPr>
              <w:spacing w:line="276" w:lineRule="auto"/>
              <w:jc w:val="both"/>
              <w:rPr>
                <w:rFonts w:cs="Arial"/>
                <w:b/>
                <w:color w:val="000000" w:themeColor="text1"/>
                <w:szCs w:val="22"/>
              </w:rPr>
            </w:pPr>
          </w:p>
        </w:tc>
        <w:tc>
          <w:tcPr>
            <w:tcW w:w="3533" w:type="dxa"/>
            <w:vAlign w:val="center"/>
          </w:tcPr>
          <w:p w14:paraId="2B540E57" w14:textId="77777777" w:rsidR="00E26C5F" w:rsidRPr="00C25809" w:rsidRDefault="00E26C5F" w:rsidP="00E26C5F">
            <w:pPr>
              <w:spacing w:line="276" w:lineRule="auto"/>
              <w:jc w:val="both"/>
              <w:rPr>
                <w:rFonts w:cs="Arial"/>
                <w:b/>
                <w:color w:val="000000" w:themeColor="text1"/>
                <w:szCs w:val="22"/>
              </w:rPr>
            </w:pPr>
          </w:p>
        </w:tc>
      </w:tr>
      <w:tr w:rsidR="00E26C5F" w:rsidRPr="00C25809" w14:paraId="09A8B25E" w14:textId="77777777" w:rsidTr="00E26C5F">
        <w:trPr>
          <w:trHeight w:val="340"/>
        </w:trPr>
        <w:tc>
          <w:tcPr>
            <w:tcW w:w="6429" w:type="dxa"/>
            <w:vAlign w:val="center"/>
          </w:tcPr>
          <w:p w14:paraId="50D718B9" w14:textId="289A3E19" w:rsidR="00E26C5F" w:rsidRPr="00C25809" w:rsidRDefault="00B30077" w:rsidP="00E26C5F">
            <w:pPr>
              <w:spacing w:line="276" w:lineRule="auto"/>
              <w:jc w:val="both"/>
              <w:rPr>
                <w:rFonts w:cs="Arial"/>
                <w:color w:val="000000" w:themeColor="text1"/>
                <w:szCs w:val="22"/>
                <w:lang w:val="en-ZA"/>
              </w:rPr>
            </w:pPr>
            <w:r>
              <w:rPr>
                <w:i/>
                <w:iCs/>
                <w:sz w:val="23"/>
                <w:szCs w:val="23"/>
              </w:rPr>
              <w:t xml:space="preserve">(a) </w:t>
            </w:r>
            <w:r>
              <w:rPr>
                <w:sz w:val="23"/>
                <w:szCs w:val="23"/>
              </w:rPr>
              <w:t>during a period of three months commencing on or between 1 April and 1 July 2020—</w:t>
            </w:r>
          </w:p>
        </w:tc>
        <w:tc>
          <w:tcPr>
            <w:tcW w:w="4146" w:type="dxa"/>
            <w:vAlign w:val="center"/>
          </w:tcPr>
          <w:p w14:paraId="66DC5289" w14:textId="79B5049D" w:rsidR="00E26C5F" w:rsidRPr="00C25809" w:rsidRDefault="00E26C5F" w:rsidP="00E26C5F">
            <w:pPr>
              <w:spacing w:line="276" w:lineRule="auto"/>
              <w:jc w:val="both"/>
              <w:rPr>
                <w:rFonts w:cs="Arial"/>
                <w:b/>
                <w:color w:val="000000" w:themeColor="text1"/>
                <w:szCs w:val="22"/>
              </w:rPr>
            </w:pPr>
          </w:p>
        </w:tc>
        <w:tc>
          <w:tcPr>
            <w:tcW w:w="3533" w:type="dxa"/>
            <w:vAlign w:val="center"/>
          </w:tcPr>
          <w:p w14:paraId="2D57501A" w14:textId="77777777" w:rsidR="00E26C5F" w:rsidRPr="00C25809" w:rsidRDefault="00E26C5F" w:rsidP="00E26C5F">
            <w:pPr>
              <w:spacing w:line="276" w:lineRule="auto"/>
              <w:jc w:val="both"/>
              <w:rPr>
                <w:rFonts w:cs="Arial"/>
                <w:b/>
                <w:color w:val="000000" w:themeColor="text1"/>
                <w:szCs w:val="22"/>
              </w:rPr>
            </w:pPr>
          </w:p>
        </w:tc>
      </w:tr>
      <w:tr w:rsidR="00E26C5F" w:rsidRPr="00C25809" w14:paraId="55A72BDD" w14:textId="77777777" w:rsidTr="00E26C5F">
        <w:trPr>
          <w:trHeight w:val="340"/>
        </w:trPr>
        <w:tc>
          <w:tcPr>
            <w:tcW w:w="6429" w:type="dxa"/>
            <w:vAlign w:val="center"/>
          </w:tcPr>
          <w:p w14:paraId="27CF671D" w14:textId="5E760D06" w:rsidR="00E26C5F" w:rsidRPr="00AA44FF" w:rsidRDefault="00AA44FF" w:rsidP="00AA44FF">
            <w:pPr>
              <w:pStyle w:val="Default"/>
              <w:rPr>
                <w:sz w:val="23"/>
                <w:szCs w:val="23"/>
              </w:rPr>
            </w:pPr>
            <w:r>
              <w:rPr>
                <w:sz w:val="23"/>
                <w:szCs w:val="23"/>
              </w:rPr>
              <w:lastRenderedPageBreak/>
              <w:t>(</w:t>
            </w:r>
            <w:proofErr w:type="spellStart"/>
            <w:r>
              <w:rPr>
                <w:sz w:val="23"/>
                <w:szCs w:val="23"/>
              </w:rPr>
              <w:t>i</w:t>
            </w:r>
            <w:proofErr w:type="spellEnd"/>
            <w:r>
              <w:rPr>
                <w:sz w:val="23"/>
                <w:szCs w:val="23"/>
              </w:rPr>
              <w:t>) as does not exceed 33.33 per cent of that remuneration per month after deducting therefrom the amounts contemplated in items (</w:t>
            </w:r>
            <w:r>
              <w:rPr>
                <w:i/>
                <w:iCs/>
                <w:sz w:val="23"/>
                <w:szCs w:val="23"/>
              </w:rPr>
              <w:t>a</w:t>
            </w:r>
            <w:r>
              <w:rPr>
                <w:sz w:val="23"/>
                <w:szCs w:val="23"/>
              </w:rPr>
              <w:t>), (</w:t>
            </w:r>
            <w:r>
              <w:rPr>
                <w:i/>
                <w:iCs/>
                <w:sz w:val="23"/>
                <w:szCs w:val="23"/>
              </w:rPr>
              <w:t>b</w:t>
            </w:r>
            <w:r>
              <w:rPr>
                <w:sz w:val="23"/>
                <w:szCs w:val="23"/>
              </w:rPr>
              <w:t>) and (</w:t>
            </w:r>
            <w:proofErr w:type="spellStart"/>
            <w:r>
              <w:rPr>
                <w:i/>
                <w:iCs/>
                <w:sz w:val="23"/>
                <w:szCs w:val="23"/>
              </w:rPr>
              <w:t>b</w:t>
            </w:r>
            <w:r>
              <w:rPr>
                <w:sz w:val="23"/>
                <w:szCs w:val="23"/>
              </w:rPr>
              <w:t>A</w:t>
            </w:r>
            <w:proofErr w:type="spellEnd"/>
            <w:r>
              <w:rPr>
                <w:sz w:val="23"/>
                <w:szCs w:val="23"/>
              </w:rPr>
              <w:t xml:space="preserve">) of that paragraph; and </w:t>
            </w:r>
          </w:p>
        </w:tc>
        <w:tc>
          <w:tcPr>
            <w:tcW w:w="4146" w:type="dxa"/>
            <w:vAlign w:val="center"/>
          </w:tcPr>
          <w:p w14:paraId="5AB38865" w14:textId="77777777" w:rsidR="00E26C5F" w:rsidRPr="00C25809" w:rsidRDefault="00E26C5F" w:rsidP="00E26C5F">
            <w:pPr>
              <w:spacing w:line="276" w:lineRule="auto"/>
              <w:jc w:val="both"/>
              <w:rPr>
                <w:rFonts w:cs="Arial"/>
                <w:b/>
                <w:color w:val="000000" w:themeColor="text1"/>
                <w:szCs w:val="22"/>
              </w:rPr>
            </w:pPr>
          </w:p>
        </w:tc>
        <w:tc>
          <w:tcPr>
            <w:tcW w:w="3533" w:type="dxa"/>
            <w:vAlign w:val="center"/>
          </w:tcPr>
          <w:p w14:paraId="348461C2" w14:textId="77777777" w:rsidR="00E26C5F" w:rsidRPr="00C25809" w:rsidRDefault="00E26C5F" w:rsidP="00E26C5F">
            <w:pPr>
              <w:spacing w:line="276" w:lineRule="auto"/>
              <w:jc w:val="both"/>
              <w:rPr>
                <w:rFonts w:cs="Arial"/>
                <w:b/>
                <w:color w:val="000000" w:themeColor="text1"/>
                <w:szCs w:val="22"/>
              </w:rPr>
            </w:pPr>
          </w:p>
        </w:tc>
      </w:tr>
      <w:tr w:rsidR="00E26C5F" w:rsidRPr="00C25809" w14:paraId="1B693B60" w14:textId="77777777" w:rsidTr="00E26C5F">
        <w:trPr>
          <w:trHeight w:val="340"/>
        </w:trPr>
        <w:tc>
          <w:tcPr>
            <w:tcW w:w="6429" w:type="dxa"/>
            <w:vAlign w:val="center"/>
          </w:tcPr>
          <w:p w14:paraId="094A95B4" w14:textId="3343649D" w:rsidR="00E26C5F" w:rsidRPr="00AA44FF" w:rsidRDefault="00AA44FF" w:rsidP="00AA44FF">
            <w:pPr>
              <w:pStyle w:val="Default"/>
              <w:rPr>
                <w:sz w:val="23"/>
                <w:szCs w:val="23"/>
              </w:rPr>
            </w:pPr>
            <w:r>
              <w:rPr>
                <w:sz w:val="23"/>
                <w:szCs w:val="23"/>
              </w:rPr>
              <w:t>(ii) for which the employer will be issued a receipt as contemplated in section 18A(2)(</w:t>
            </w:r>
            <w:r>
              <w:rPr>
                <w:i/>
                <w:iCs/>
                <w:sz w:val="23"/>
                <w:szCs w:val="23"/>
              </w:rPr>
              <w:t>a</w:t>
            </w:r>
            <w:r>
              <w:rPr>
                <w:sz w:val="23"/>
                <w:szCs w:val="23"/>
              </w:rPr>
              <w:t xml:space="preserve">) of the Income Tax Act; or </w:t>
            </w:r>
          </w:p>
        </w:tc>
        <w:tc>
          <w:tcPr>
            <w:tcW w:w="4146" w:type="dxa"/>
            <w:vAlign w:val="center"/>
          </w:tcPr>
          <w:p w14:paraId="0D5DDAC2" w14:textId="77777777" w:rsidR="00E26C5F" w:rsidRPr="00C25809" w:rsidRDefault="00E26C5F" w:rsidP="00E26C5F">
            <w:pPr>
              <w:spacing w:line="276" w:lineRule="auto"/>
              <w:jc w:val="both"/>
              <w:rPr>
                <w:rFonts w:cs="Arial"/>
                <w:b/>
                <w:color w:val="000000" w:themeColor="text1"/>
                <w:szCs w:val="22"/>
              </w:rPr>
            </w:pPr>
          </w:p>
        </w:tc>
        <w:tc>
          <w:tcPr>
            <w:tcW w:w="3533" w:type="dxa"/>
            <w:vAlign w:val="center"/>
          </w:tcPr>
          <w:p w14:paraId="649DF913" w14:textId="3C484C5F" w:rsidR="00E26C5F" w:rsidRPr="00C25809" w:rsidRDefault="00E26C5F" w:rsidP="00E26C5F">
            <w:pPr>
              <w:spacing w:line="276" w:lineRule="auto"/>
              <w:jc w:val="both"/>
              <w:rPr>
                <w:rFonts w:cs="Arial"/>
                <w:color w:val="000000" w:themeColor="text1"/>
                <w:szCs w:val="22"/>
              </w:rPr>
            </w:pPr>
          </w:p>
        </w:tc>
      </w:tr>
      <w:tr w:rsidR="00E26C5F" w:rsidRPr="00C25809" w14:paraId="4E54F244" w14:textId="77777777" w:rsidTr="00E26C5F">
        <w:trPr>
          <w:trHeight w:val="340"/>
        </w:trPr>
        <w:tc>
          <w:tcPr>
            <w:tcW w:w="6429" w:type="dxa"/>
            <w:vAlign w:val="center"/>
          </w:tcPr>
          <w:p w14:paraId="0FFB8770" w14:textId="012E354B" w:rsidR="00E26C5F" w:rsidRPr="00C25809" w:rsidRDefault="00AA44FF" w:rsidP="00E26C5F">
            <w:pPr>
              <w:spacing w:line="276" w:lineRule="auto"/>
              <w:jc w:val="both"/>
              <w:rPr>
                <w:rFonts w:cs="Arial"/>
                <w:color w:val="000000" w:themeColor="text1"/>
                <w:szCs w:val="22"/>
                <w:lang w:val="en-ZA"/>
              </w:rPr>
            </w:pPr>
            <w:r>
              <w:rPr>
                <w:i/>
                <w:iCs/>
                <w:sz w:val="23"/>
                <w:szCs w:val="23"/>
              </w:rPr>
              <w:t xml:space="preserve">(b) </w:t>
            </w:r>
            <w:r>
              <w:rPr>
                <w:sz w:val="23"/>
                <w:szCs w:val="23"/>
              </w:rPr>
              <w:t>during a period of six months commencing on 1 April 2020—</w:t>
            </w:r>
          </w:p>
        </w:tc>
        <w:tc>
          <w:tcPr>
            <w:tcW w:w="4146" w:type="dxa"/>
            <w:vAlign w:val="center"/>
          </w:tcPr>
          <w:p w14:paraId="3F879D7E" w14:textId="77777777" w:rsidR="00E26C5F" w:rsidRPr="00C25809" w:rsidRDefault="00E26C5F" w:rsidP="00E26C5F">
            <w:pPr>
              <w:spacing w:line="276" w:lineRule="auto"/>
              <w:jc w:val="both"/>
              <w:rPr>
                <w:rFonts w:cs="Arial"/>
                <w:b/>
                <w:color w:val="000000" w:themeColor="text1"/>
                <w:szCs w:val="22"/>
              </w:rPr>
            </w:pPr>
          </w:p>
        </w:tc>
        <w:tc>
          <w:tcPr>
            <w:tcW w:w="3533" w:type="dxa"/>
            <w:vAlign w:val="center"/>
          </w:tcPr>
          <w:p w14:paraId="50B1C164" w14:textId="77777777" w:rsidR="00E26C5F" w:rsidRPr="00C25809" w:rsidRDefault="00E26C5F" w:rsidP="00E26C5F">
            <w:pPr>
              <w:spacing w:line="276" w:lineRule="auto"/>
              <w:jc w:val="both"/>
              <w:rPr>
                <w:rFonts w:cs="Arial"/>
                <w:b/>
                <w:color w:val="000000" w:themeColor="text1"/>
                <w:szCs w:val="22"/>
              </w:rPr>
            </w:pPr>
          </w:p>
        </w:tc>
      </w:tr>
      <w:tr w:rsidR="00E26C5F" w:rsidRPr="00C25809" w14:paraId="54BB1CDC" w14:textId="77777777" w:rsidTr="00E26C5F">
        <w:trPr>
          <w:trHeight w:val="340"/>
        </w:trPr>
        <w:tc>
          <w:tcPr>
            <w:tcW w:w="6429" w:type="dxa"/>
            <w:vAlign w:val="center"/>
          </w:tcPr>
          <w:p w14:paraId="64A98368" w14:textId="3ECB49DC" w:rsidR="00E26C5F" w:rsidRPr="00705F93" w:rsidRDefault="00705F93" w:rsidP="00705F93">
            <w:pPr>
              <w:pStyle w:val="Default"/>
              <w:rPr>
                <w:sz w:val="23"/>
                <w:szCs w:val="23"/>
              </w:rPr>
            </w:pPr>
            <w:r>
              <w:rPr>
                <w:sz w:val="23"/>
                <w:szCs w:val="23"/>
              </w:rPr>
              <w:t>(</w:t>
            </w:r>
            <w:proofErr w:type="spellStart"/>
            <w:r>
              <w:rPr>
                <w:sz w:val="23"/>
                <w:szCs w:val="23"/>
              </w:rPr>
              <w:t>i</w:t>
            </w:r>
            <w:proofErr w:type="spellEnd"/>
            <w:r>
              <w:rPr>
                <w:sz w:val="23"/>
                <w:szCs w:val="23"/>
              </w:rPr>
              <w:t>) as does not exceed 16.66 per cent of that remuneration per month after deducting therefrom the amounts contemplated in items (</w:t>
            </w:r>
            <w:r>
              <w:rPr>
                <w:i/>
                <w:iCs/>
                <w:sz w:val="23"/>
                <w:szCs w:val="23"/>
              </w:rPr>
              <w:t>a</w:t>
            </w:r>
            <w:r>
              <w:rPr>
                <w:sz w:val="23"/>
                <w:szCs w:val="23"/>
              </w:rPr>
              <w:t>), (</w:t>
            </w:r>
            <w:r>
              <w:rPr>
                <w:i/>
                <w:iCs/>
                <w:sz w:val="23"/>
                <w:szCs w:val="23"/>
              </w:rPr>
              <w:t>b</w:t>
            </w:r>
            <w:r>
              <w:rPr>
                <w:sz w:val="23"/>
                <w:szCs w:val="23"/>
              </w:rPr>
              <w:t>) and (</w:t>
            </w:r>
            <w:proofErr w:type="spellStart"/>
            <w:r>
              <w:rPr>
                <w:i/>
                <w:iCs/>
                <w:sz w:val="23"/>
                <w:szCs w:val="23"/>
              </w:rPr>
              <w:t>b</w:t>
            </w:r>
            <w:r>
              <w:rPr>
                <w:sz w:val="23"/>
                <w:szCs w:val="23"/>
              </w:rPr>
              <w:t>A</w:t>
            </w:r>
            <w:proofErr w:type="spellEnd"/>
            <w:r>
              <w:rPr>
                <w:sz w:val="23"/>
                <w:szCs w:val="23"/>
              </w:rPr>
              <w:t xml:space="preserve">) of that paragraph; and </w:t>
            </w:r>
          </w:p>
        </w:tc>
        <w:tc>
          <w:tcPr>
            <w:tcW w:w="4146" w:type="dxa"/>
            <w:vAlign w:val="center"/>
          </w:tcPr>
          <w:p w14:paraId="5623117C" w14:textId="77777777" w:rsidR="00E26C5F" w:rsidRPr="00C25809" w:rsidRDefault="00E26C5F" w:rsidP="00E26C5F">
            <w:pPr>
              <w:spacing w:line="276" w:lineRule="auto"/>
              <w:jc w:val="both"/>
              <w:rPr>
                <w:rFonts w:cs="Arial"/>
                <w:b/>
                <w:color w:val="000000" w:themeColor="text1"/>
                <w:szCs w:val="22"/>
              </w:rPr>
            </w:pPr>
          </w:p>
        </w:tc>
        <w:tc>
          <w:tcPr>
            <w:tcW w:w="3533" w:type="dxa"/>
            <w:vAlign w:val="center"/>
          </w:tcPr>
          <w:p w14:paraId="1A62A0AF" w14:textId="77777777" w:rsidR="00E26C5F" w:rsidRPr="00C25809" w:rsidRDefault="00E26C5F" w:rsidP="00E26C5F">
            <w:pPr>
              <w:spacing w:line="276" w:lineRule="auto"/>
              <w:jc w:val="both"/>
              <w:rPr>
                <w:rFonts w:cs="Arial"/>
                <w:b/>
                <w:color w:val="000000" w:themeColor="text1"/>
                <w:szCs w:val="22"/>
              </w:rPr>
            </w:pPr>
          </w:p>
        </w:tc>
      </w:tr>
      <w:tr w:rsidR="00E26C5F" w:rsidRPr="00C25809" w14:paraId="65FBB42B" w14:textId="77777777" w:rsidTr="00E26C5F">
        <w:trPr>
          <w:trHeight w:val="340"/>
        </w:trPr>
        <w:tc>
          <w:tcPr>
            <w:tcW w:w="6429" w:type="dxa"/>
            <w:vAlign w:val="center"/>
          </w:tcPr>
          <w:p w14:paraId="294F021C" w14:textId="559A47BE" w:rsidR="00E26C5F" w:rsidRPr="00705F93" w:rsidRDefault="00705F93" w:rsidP="00705F93">
            <w:pPr>
              <w:pStyle w:val="Default"/>
              <w:rPr>
                <w:sz w:val="23"/>
                <w:szCs w:val="23"/>
              </w:rPr>
            </w:pPr>
            <w:r>
              <w:rPr>
                <w:sz w:val="23"/>
                <w:szCs w:val="23"/>
              </w:rPr>
              <w:t xml:space="preserve">(ii) for which the employer will be issued a receipt as contemplated in section 18A(2)(a) of the Income Tax Act. </w:t>
            </w:r>
          </w:p>
        </w:tc>
        <w:tc>
          <w:tcPr>
            <w:tcW w:w="4146" w:type="dxa"/>
            <w:vAlign w:val="center"/>
          </w:tcPr>
          <w:p w14:paraId="5710AC02" w14:textId="77777777" w:rsidR="00E26C5F" w:rsidRPr="00C25809" w:rsidRDefault="00E26C5F" w:rsidP="00E26C5F">
            <w:pPr>
              <w:spacing w:line="276" w:lineRule="auto"/>
              <w:jc w:val="both"/>
              <w:rPr>
                <w:rFonts w:cs="Arial"/>
                <w:b/>
                <w:color w:val="000000" w:themeColor="text1"/>
                <w:szCs w:val="22"/>
              </w:rPr>
            </w:pPr>
          </w:p>
        </w:tc>
        <w:tc>
          <w:tcPr>
            <w:tcW w:w="3533" w:type="dxa"/>
            <w:vAlign w:val="center"/>
          </w:tcPr>
          <w:p w14:paraId="35A3BFA4" w14:textId="77777777" w:rsidR="00E26C5F" w:rsidRPr="00C25809" w:rsidRDefault="00E26C5F" w:rsidP="00E26C5F">
            <w:pPr>
              <w:spacing w:line="276" w:lineRule="auto"/>
              <w:jc w:val="both"/>
              <w:rPr>
                <w:rFonts w:cs="Arial"/>
                <w:b/>
                <w:color w:val="000000" w:themeColor="text1"/>
                <w:szCs w:val="22"/>
              </w:rPr>
            </w:pPr>
          </w:p>
        </w:tc>
      </w:tr>
      <w:tr w:rsidR="00E26C5F" w:rsidRPr="00C25809" w14:paraId="74DB095F" w14:textId="77777777" w:rsidTr="00E26C5F">
        <w:trPr>
          <w:trHeight w:val="340"/>
        </w:trPr>
        <w:tc>
          <w:tcPr>
            <w:tcW w:w="14108" w:type="dxa"/>
            <w:gridSpan w:val="3"/>
            <w:shd w:val="clear" w:color="auto" w:fill="C5E0B3" w:themeFill="accent6" w:themeFillTint="66"/>
            <w:vAlign w:val="center"/>
          </w:tcPr>
          <w:p w14:paraId="04ACD103" w14:textId="0FABF2DE" w:rsidR="00E26C5F" w:rsidRPr="00C25809" w:rsidRDefault="00705F93" w:rsidP="00E26C5F">
            <w:pPr>
              <w:spacing w:line="276" w:lineRule="auto"/>
              <w:jc w:val="both"/>
              <w:rPr>
                <w:rFonts w:cs="Arial"/>
                <w:b/>
                <w:color w:val="000000" w:themeColor="text1"/>
                <w:szCs w:val="22"/>
              </w:rPr>
            </w:pPr>
            <w:r>
              <w:rPr>
                <w:b/>
                <w:bCs/>
                <w:sz w:val="23"/>
                <w:szCs w:val="23"/>
              </w:rPr>
              <w:t>Change in Value-Added Tax Category</w:t>
            </w:r>
          </w:p>
        </w:tc>
      </w:tr>
      <w:tr w:rsidR="00E26C5F" w:rsidRPr="00C25809" w14:paraId="55C908AC" w14:textId="77777777" w:rsidTr="00E26C5F">
        <w:trPr>
          <w:trHeight w:val="340"/>
        </w:trPr>
        <w:tc>
          <w:tcPr>
            <w:tcW w:w="6429" w:type="dxa"/>
            <w:vAlign w:val="center"/>
          </w:tcPr>
          <w:p w14:paraId="120384F0" w14:textId="6BB404FD" w:rsidR="00E26C5F" w:rsidRPr="00C25809" w:rsidRDefault="00705F93" w:rsidP="00E26C5F">
            <w:pPr>
              <w:spacing w:line="276" w:lineRule="auto"/>
              <w:jc w:val="both"/>
              <w:rPr>
                <w:rFonts w:cs="Arial"/>
                <w:color w:val="000000" w:themeColor="text1"/>
                <w:szCs w:val="22"/>
                <w:lang w:val="en-ZA"/>
              </w:rPr>
            </w:pPr>
            <w:r>
              <w:rPr>
                <w:b/>
                <w:bCs/>
                <w:sz w:val="23"/>
                <w:szCs w:val="23"/>
              </w:rPr>
              <w:t xml:space="preserve">6. </w:t>
            </w:r>
            <w:r>
              <w:rPr>
                <w:sz w:val="23"/>
                <w:szCs w:val="23"/>
              </w:rPr>
              <w:t>(1) Notwithstanding anything contrary in the Value-Added Tax Act a vendor registered under a Category A or Category B tax period, is deemed to fall within a Category C tax period, if that vendor, for the purposes of section 28 of that Act, furnishes a return to the Commissioner and calculates the tax payable by or refund due to the vendor in respect of a month, that falls within the two months that constitute the Category A or Category B tax period. Provided that—</w:t>
            </w:r>
          </w:p>
        </w:tc>
        <w:tc>
          <w:tcPr>
            <w:tcW w:w="4146" w:type="dxa"/>
            <w:vAlign w:val="center"/>
          </w:tcPr>
          <w:p w14:paraId="2C0FB5BE" w14:textId="77777777" w:rsidR="00E26C5F" w:rsidRPr="00C25809" w:rsidRDefault="00E26C5F" w:rsidP="00E26C5F">
            <w:pPr>
              <w:spacing w:line="276" w:lineRule="auto"/>
              <w:jc w:val="both"/>
              <w:rPr>
                <w:rFonts w:cs="Arial"/>
                <w:b/>
                <w:color w:val="000000" w:themeColor="text1"/>
                <w:szCs w:val="22"/>
              </w:rPr>
            </w:pPr>
          </w:p>
        </w:tc>
        <w:tc>
          <w:tcPr>
            <w:tcW w:w="3533" w:type="dxa"/>
            <w:vAlign w:val="center"/>
          </w:tcPr>
          <w:p w14:paraId="71BC0998" w14:textId="77777777" w:rsidR="00E26C5F" w:rsidRPr="00C25809" w:rsidRDefault="00E26C5F" w:rsidP="00E26C5F">
            <w:pPr>
              <w:spacing w:line="276" w:lineRule="auto"/>
              <w:jc w:val="both"/>
              <w:rPr>
                <w:rFonts w:cs="Arial"/>
                <w:b/>
                <w:color w:val="000000" w:themeColor="text1"/>
                <w:szCs w:val="22"/>
              </w:rPr>
            </w:pPr>
          </w:p>
        </w:tc>
      </w:tr>
      <w:tr w:rsidR="00E26C5F" w:rsidRPr="00C25809" w14:paraId="28D926B3" w14:textId="77777777" w:rsidTr="00E26C5F">
        <w:trPr>
          <w:trHeight w:val="340"/>
        </w:trPr>
        <w:tc>
          <w:tcPr>
            <w:tcW w:w="6429" w:type="dxa"/>
            <w:vAlign w:val="center"/>
          </w:tcPr>
          <w:p w14:paraId="1C5EA373" w14:textId="46022934" w:rsidR="00E26C5F" w:rsidRPr="00C25809" w:rsidRDefault="00C749A5" w:rsidP="00E26C5F">
            <w:pPr>
              <w:rPr>
                <w:rFonts w:cs="Arial"/>
                <w:color w:val="000000" w:themeColor="text1"/>
                <w:szCs w:val="22"/>
              </w:rPr>
            </w:pPr>
            <w:r>
              <w:rPr>
                <w:i/>
                <w:iCs/>
                <w:sz w:val="23"/>
                <w:szCs w:val="23"/>
              </w:rPr>
              <w:lastRenderedPageBreak/>
              <w:t xml:space="preserve">(a) </w:t>
            </w:r>
            <w:r>
              <w:rPr>
                <w:sz w:val="23"/>
                <w:szCs w:val="23"/>
              </w:rPr>
              <w:t>the calculation of the refund due to the vendor, must be done in accordance with section 16 of that Act, as if the vendor falls within the Category C tax period; and</w:t>
            </w:r>
          </w:p>
        </w:tc>
        <w:tc>
          <w:tcPr>
            <w:tcW w:w="4146" w:type="dxa"/>
            <w:vAlign w:val="center"/>
          </w:tcPr>
          <w:p w14:paraId="75B13B01" w14:textId="77777777" w:rsidR="00E26C5F" w:rsidRPr="00C25809" w:rsidRDefault="00E26C5F" w:rsidP="00E26C5F">
            <w:pPr>
              <w:spacing w:line="276" w:lineRule="auto"/>
              <w:jc w:val="both"/>
              <w:rPr>
                <w:rFonts w:cs="Arial"/>
                <w:b/>
                <w:color w:val="000000" w:themeColor="text1"/>
                <w:szCs w:val="22"/>
              </w:rPr>
            </w:pPr>
          </w:p>
        </w:tc>
        <w:tc>
          <w:tcPr>
            <w:tcW w:w="3533" w:type="dxa"/>
            <w:vAlign w:val="center"/>
          </w:tcPr>
          <w:p w14:paraId="2B319977" w14:textId="77777777" w:rsidR="00E26C5F" w:rsidRPr="00C25809" w:rsidRDefault="00E26C5F" w:rsidP="00E26C5F">
            <w:pPr>
              <w:spacing w:line="276" w:lineRule="auto"/>
              <w:jc w:val="both"/>
              <w:rPr>
                <w:rFonts w:cs="Arial"/>
                <w:b/>
                <w:color w:val="000000" w:themeColor="text1"/>
                <w:szCs w:val="22"/>
              </w:rPr>
            </w:pPr>
          </w:p>
        </w:tc>
      </w:tr>
      <w:tr w:rsidR="00E26C5F" w:rsidRPr="00C25809" w14:paraId="790E56BE" w14:textId="77777777" w:rsidTr="00E26C5F">
        <w:trPr>
          <w:trHeight w:val="340"/>
        </w:trPr>
        <w:tc>
          <w:tcPr>
            <w:tcW w:w="6429" w:type="dxa"/>
            <w:vAlign w:val="center"/>
          </w:tcPr>
          <w:p w14:paraId="2DAE6AE8" w14:textId="797001C3" w:rsidR="00E26C5F" w:rsidRPr="00C25809" w:rsidRDefault="00C749A5" w:rsidP="00E26C5F">
            <w:pPr>
              <w:rPr>
                <w:rFonts w:cs="Arial"/>
                <w:bCs/>
                <w:iCs/>
                <w:color w:val="000000" w:themeColor="text1"/>
                <w:szCs w:val="22"/>
              </w:rPr>
            </w:pPr>
            <w:r>
              <w:rPr>
                <w:i/>
                <w:iCs/>
                <w:sz w:val="23"/>
                <w:szCs w:val="23"/>
              </w:rPr>
              <w:t xml:space="preserve">(b) </w:t>
            </w:r>
            <w:r>
              <w:rPr>
                <w:sz w:val="23"/>
                <w:szCs w:val="23"/>
              </w:rPr>
              <w:t>such vendor shall furnish a return to the Commissioner and calculate the tax payable or the refund due to the vendor, in respect of the month corresponding to the month in which the Category A or Category B tax period ends.</w:t>
            </w:r>
          </w:p>
        </w:tc>
        <w:tc>
          <w:tcPr>
            <w:tcW w:w="4146" w:type="dxa"/>
            <w:vAlign w:val="center"/>
          </w:tcPr>
          <w:p w14:paraId="174823DF" w14:textId="77777777" w:rsidR="00E26C5F" w:rsidRPr="00C25809" w:rsidRDefault="00E26C5F" w:rsidP="00E26C5F">
            <w:pPr>
              <w:spacing w:line="276" w:lineRule="auto"/>
              <w:jc w:val="both"/>
              <w:rPr>
                <w:rFonts w:cs="Arial"/>
                <w:b/>
                <w:color w:val="000000" w:themeColor="text1"/>
                <w:szCs w:val="22"/>
              </w:rPr>
            </w:pPr>
          </w:p>
        </w:tc>
        <w:tc>
          <w:tcPr>
            <w:tcW w:w="3533" w:type="dxa"/>
            <w:vAlign w:val="center"/>
          </w:tcPr>
          <w:p w14:paraId="4594D078" w14:textId="77777777" w:rsidR="00E26C5F" w:rsidRPr="00C25809" w:rsidRDefault="00E26C5F" w:rsidP="00E26C5F">
            <w:pPr>
              <w:spacing w:line="276" w:lineRule="auto"/>
              <w:jc w:val="both"/>
              <w:rPr>
                <w:rFonts w:cs="Arial"/>
                <w:b/>
                <w:color w:val="000000" w:themeColor="text1"/>
                <w:szCs w:val="22"/>
              </w:rPr>
            </w:pPr>
          </w:p>
        </w:tc>
      </w:tr>
      <w:tr w:rsidR="00E26C5F" w:rsidRPr="00C25809" w14:paraId="258DB56B" w14:textId="77777777" w:rsidTr="00E26C5F">
        <w:trPr>
          <w:trHeight w:val="340"/>
        </w:trPr>
        <w:tc>
          <w:tcPr>
            <w:tcW w:w="6429" w:type="dxa"/>
            <w:vAlign w:val="center"/>
          </w:tcPr>
          <w:p w14:paraId="30C93D29" w14:textId="4C3EB6FC" w:rsidR="00E26C5F" w:rsidRPr="00C25809" w:rsidRDefault="00C749A5" w:rsidP="00E26C5F">
            <w:pPr>
              <w:rPr>
                <w:rFonts w:cs="Arial"/>
                <w:bCs/>
                <w:iCs/>
                <w:color w:val="000000" w:themeColor="text1"/>
                <w:szCs w:val="22"/>
              </w:rPr>
            </w:pPr>
            <w:r>
              <w:rPr>
                <w:sz w:val="23"/>
                <w:szCs w:val="23"/>
              </w:rPr>
              <w:t>(2) In respect of a vendor registered under a Category A tax period, this section commences during the April to May 2020 tax period and ends during the June to July 2020 tax period and will operate for a maximum period of 4 months.</w:t>
            </w:r>
          </w:p>
        </w:tc>
        <w:tc>
          <w:tcPr>
            <w:tcW w:w="4146" w:type="dxa"/>
            <w:vAlign w:val="center"/>
          </w:tcPr>
          <w:p w14:paraId="333C1B72" w14:textId="77777777" w:rsidR="00E26C5F" w:rsidRPr="00C25809" w:rsidRDefault="00E26C5F" w:rsidP="00E26C5F">
            <w:pPr>
              <w:spacing w:line="276" w:lineRule="auto"/>
              <w:jc w:val="both"/>
              <w:rPr>
                <w:rFonts w:cs="Arial"/>
                <w:b/>
                <w:color w:val="000000" w:themeColor="text1"/>
                <w:szCs w:val="22"/>
              </w:rPr>
            </w:pPr>
          </w:p>
        </w:tc>
        <w:tc>
          <w:tcPr>
            <w:tcW w:w="3533" w:type="dxa"/>
            <w:vAlign w:val="center"/>
          </w:tcPr>
          <w:p w14:paraId="23F5BE2E" w14:textId="77777777" w:rsidR="00E26C5F" w:rsidRPr="00C25809" w:rsidRDefault="00E26C5F" w:rsidP="00E26C5F">
            <w:pPr>
              <w:spacing w:line="276" w:lineRule="auto"/>
              <w:jc w:val="both"/>
              <w:rPr>
                <w:rFonts w:cs="Arial"/>
                <w:b/>
                <w:color w:val="000000" w:themeColor="text1"/>
                <w:szCs w:val="22"/>
              </w:rPr>
            </w:pPr>
          </w:p>
        </w:tc>
      </w:tr>
      <w:tr w:rsidR="00E26C5F" w:rsidRPr="00C25809" w14:paraId="56ACB6ED" w14:textId="77777777" w:rsidTr="00E26C5F">
        <w:trPr>
          <w:trHeight w:val="340"/>
        </w:trPr>
        <w:tc>
          <w:tcPr>
            <w:tcW w:w="6429" w:type="dxa"/>
            <w:vAlign w:val="center"/>
          </w:tcPr>
          <w:p w14:paraId="3622BE58" w14:textId="5CF3019B" w:rsidR="00E26C5F" w:rsidRPr="00C25809" w:rsidRDefault="00C749A5" w:rsidP="00E26C5F">
            <w:pPr>
              <w:tabs>
                <w:tab w:val="left" w:pos="1133"/>
              </w:tabs>
              <w:spacing w:line="360" w:lineRule="auto"/>
              <w:ind w:right="6"/>
              <w:rPr>
                <w:rFonts w:eastAsia="Arial" w:cs="Arial"/>
                <w:iCs/>
                <w:color w:val="000000" w:themeColor="text1"/>
                <w:szCs w:val="22"/>
              </w:rPr>
            </w:pPr>
            <w:r>
              <w:rPr>
                <w:sz w:val="23"/>
                <w:szCs w:val="23"/>
              </w:rPr>
              <w:t>(3) In respect of a vendor registered under a Category B tax period, this section commences during the May to June 2020 tax period and ends during the July to August 2020 tax period and will operate for a maximum period of 4 months.</w:t>
            </w:r>
          </w:p>
        </w:tc>
        <w:tc>
          <w:tcPr>
            <w:tcW w:w="4146" w:type="dxa"/>
            <w:vAlign w:val="center"/>
          </w:tcPr>
          <w:p w14:paraId="6DED119B" w14:textId="77777777" w:rsidR="00E26C5F" w:rsidRPr="00C25809" w:rsidRDefault="00E26C5F" w:rsidP="00E26C5F">
            <w:pPr>
              <w:spacing w:line="360" w:lineRule="auto"/>
              <w:jc w:val="both"/>
              <w:rPr>
                <w:rFonts w:cs="Arial"/>
                <w:b/>
                <w:iCs/>
                <w:color w:val="000000" w:themeColor="text1"/>
                <w:szCs w:val="22"/>
              </w:rPr>
            </w:pPr>
          </w:p>
        </w:tc>
        <w:tc>
          <w:tcPr>
            <w:tcW w:w="3533" w:type="dxa"/>
            <w:vAlign w:val="center"/>
          </w:tcPr>
          <w:p w14:paraId="3AC946C5" w14:textId="77777777" w:rsidR="00E26C5F" w:rsidRPr="00C25809" w:rsidRDefault="00E26C5F" w:rsidP="00E26C5F">
            <w:pPr>
              <w:spacing w:line="276" w:lineRule="auto"/>
              <w:jc w:val="both"/>
              <w:rPr>
                <w:rFonts w:cs="Arial"/>
                <w:b/>
                <w:color w:val="000000" w:themeColor="text1"/>
                <w:szCs w:val="22"/>
              </w:rPr>
            </w:pPr>
          </w:p>
        </w:tc>
      </w:tr>
      <w:tr w:rsidR="00724BEB" w:rsidRPr="00C25809" w14:paraId="469075E8" w14:textId="77777777" w:rsidTr="00531970">
        <w:trPr>
          <w:trHeight w:val="340"/>
        </w:trPr>
        <w:tc>
          <w:tcPr>
            <w:tcW w:w="14108" w:type="dxa"/>
            <w:gridSpan w:val="3"/>
            <w:shd w:val="clear" w:color="auto" w:fill="C5E0B3" w:themeFill="accent6" w:themeFillTint="66"/>
            <w:vAlign w:val="center"/>
          </w:tcPr>
          <w:p w14:paraId="575081CD" w14:textId="06E273DC" w:rsidR="00724BEB" w:rsidRPr="00C25809" w:rsidRDefault="00724BEB" w:rsidP="00E26C5F">
            <w:pPr>
              <w:spacing w:line="276" w:lineRule="auto"/>
              <w:jc w:val="both"/>
              <w:rPr>
                <w:rFonts w:cs="Arial"/>
                <w:b/>
                <w:color w:val="000000" w:themeColor="text1"/>
                <w:szCs w:val="22"/>
              </w:rPr>
            </w:pPr>
            <w:r>
              <w:rPr>
                <w:b/>
                <w:bCs/>
                <w:sz w:val="23"/>
                <w:szCs w:val="23"/>
              </w:rPr>
              <w:t>Extension of time periods</w:t>
            </w:r>
          </w:p>
        </w:tc>
      </w:tr>
      <w:tr w:rsidR="00E26C5F" w:rsidRPr="00C25809" w14:paraId="3252677C" w14:textId="77777777" w:rsidTr="00E26C5F">
        <w:trPr>
          <w:trHeight w:val="340"/>
        </w:trPr>
        <w:tc>
          <w:tcPr>
            <w:tcW w:w="6429" w:type="dxa"/>
            <w:vAlign w:val="center"/>
          </w:tcPr>
          <w:p w14:paraId="2F08165B" w14:textId="1FF14722" w:rsidR="00E26C5F" w:rsidRPr="00C25809" w:rsidRDefault="00724BEB" w:rsidP="00E26C5F">
            <w:pPr>
              <w:spacing w:line="276" w:lineRule="auto"/>
              <w:jc w:val="both"/>
              <w:rPr>
                <w:rFonts w:cs="Arial"/>
                <w:color w:val="000000" w:themeColor="text1"/>
                <w:szCs w:val="22"/>
              </w:rPr>
            </w:pPr>
            <w:r>
              <w:rPr>
                <w:b/>
                <w:bCs/>
                <w:sz w:val="23"/>
                <w:szCs w:val="23"/>
              </w:rPr>
              <w:t xml:space="preserve">7. </w:t>
            </w:r>
            <w:r>
              <w:rPr>
                <w:sz w:val="23"/>
                <w:szCs w:val="23"/>
              </w:rPr>
              <w:t xml:space="preserve">(1) For purposes of the calculation of a time period prescribed under a tax Act, as defined in section 1 of the Tax Administration Act, the period of the national lockdown, must be regarded as </w:t>
            </w:r>
            <w:r>
              <w:rPr>
                <w:i/>
                <w:iCs/>
                <w:sz w:val="23"/>
                <w:szCs w:val="23"/>
              </w:rPr>
              <w:t xml:space="preserve">dies non </w:t>
            </w:r>
            <w:r>
              <w:rPr>
                <w:sz w:val="23"/>
                <w:szCs w:val="23"/>
              </w:rPr>
              <w:t>for a time period prescribed—</w:t>
            </w:r>
          </w:p>
        </w:tc>
        <w:tc>
          <w:tcPr>
            <w:tcW w:w="4146" w:type="dxa"/>
            <w:vAlign w:val="center"/>
          </w:tcPr>
          <w:p w14:paraId="644E6910" w14:textId="77777777" w:rsidR="00E26C5F" w:rsidRPr="00C25809" w:rsidRDefault="00E26C5F" w:rsidP="00E26C5F">
            <w:pPr>
              <w:spacing w:line="276" w:lineRule="auto"/>
              <w:jc w:val="both"/>
              <w:rPr>
                <w:rFonts w:cs="Arial"/>
                <w:b/>
                <w:color w:val="000000" w:themeColor="text1"/>
                <w:szCs w:val="22"/>
              </w:rPr>
            </w:pPr>
          </w:p>
        </w:tc>
        <w:tc>
          <w:tcPr>
            <w:tcW w:w="3533" w:type="dxa"/>
            <w:vAlign w:val="center"/>
          </w:tcPr>
          <w:p w14:paraId="2F217A02" w14:textId="77777777" w:rsidR="00E26C5F" w:rsidRPr="00C25809" w:rsidRDefault="00E26C5F" w:rsidP="00E26C5F">
            <w:pPr>
              <w:spacing w:line="276" w:lineRule="auto"/>
              <w:jc w:val="both"/>
              <w:rPr>
                <w:rFonts w:cs="Arial"/>
                <w:b/>
                <w:color w:val="000000" w:themeColor="text1"/>
                <w:szCs w:val="22"/>
              </w:rPr>
            </w:pPr>
          </w:p>
        </w:tc>
      </w:tr>
      <w:tr w:rsidR="00E26C5F" w:rsidRPr="00C25809" w14:paraId="6B4C362F" w14:textId="77777777" w:rsidTr="00E26C5F">
        <w:trPr>
          <w:trHeight w:val="340"/>
        </w:trPr>
        <w:tc>
          <w:tcPr>
            <w:tcW w:w="6429" w:type="dxa"/>
            <w:vAlign w:val="center"/>
          </w:tcPr>
          <w:p w14:paraId="03BC1799" w14:textId="3D9CED1A" w:rsidR="00E26C5F" w:rsidRPr="00724BEB" w:rsidRDefault="00724BEB" w:rsidP="0079711A">
            <w:pPr>
              <w:pStyle w:val="Default"/>
              <w:numPr>
                <w:ilvl w:val="0"/>
                <w:numId w:val="11"/>
              </w:numPr>
              <w:rPr>
                <w:sz w:val="23"/>
                <w:szCs w:val="23"/>
              </w:rPr>
            </w:pPr>
            <w:r>
              <w:rPr>
                <w:i/>
                <w:iCs/>
                <w:sz w:val="23"/>
                <w:szCs w:val="23"/>
              </w:rPr>
              <w:lastRenderedPageBreak/>
              <w:t xml:space="preserve">(a) </w:t>
            </w:r>
            <w:r>
              <w:rPr>
                <w:sz w:val="23"/>
                <w:szCs w:val="23"/>
              </w:rPr>
              <w:t xml:space="preserve">in respect of a notice under section 47 of the Tax Administration Act if the notice requires a taxpayer to attend an interview on a date within the national lockdown period; </w:t>
            </w:r>
          </w:p>
        </w:tc>
        <w:tc>
          <w:tcPr>
            <w:tcW w:w="4146" w:type="dxa"/>
            <w:vAlign w:val="center"/>
          </w:tcPr>
          <w:p w14:paraId="61E1FFCD" w14:textId="2BED13B0" w:rsidR="00E26C5F" w:rsidRPr="00C25809" w:rsidRDefault="00E26C5F" w:rsidP="00E26C5F">
            <w:pPr>
              <w:spacing w:line="276" w:lineRule="auto"/>
              <w:jc w:val="both"/>
              <w:rPr>
                <w:rFonts w:cs="Arial"/>
                <w:b/>
                <w:color w:val="000000" w:themeColor="text1"/>
                <w:szCs w:val="22"/>
              </w:rPr>
            </w:pPr>
          </w:p>
        </w:tc>
        <w:tc>
          <w:tcPr>
            <w:tcW w:w="3533" w:type="dxa"/>
            <w:vAlign w:val="center"/>
          </w:tcPr>
          <w:p w14:paraId="361F56A8" w14:textId="77777777" w:rsidR="00E26C5F" w:rsidRPr="00C25809" w:rsidRDefault="00E26C5F" w:rsidP="00E26C5F">
            <w:pPr>
              <w:spacing w:line="276" w:lineRule="auto"/>
              <w:jc w:val="both"/>
              <w:rPr>
                <w:rFonts w:cs="Arial"/>
                <w:b/>
                <w:color w:val="000000" w:themeColor="text1"/>
                <w:szCs w:val="22"/>
              </w:rPr>
            </w:pPr>
          </w:p>
        </w:tc>
      </w:tr>
      <w:tr w:rsidR="00E26C5F" w:rsidRPr="00C25809" w14:paraId="26163137" w14:textId="77777777" w:rsidTr="00E26C5F">
        <w:trPr>
          <w:trHeight w:val="340"/>
        </w:trPr>
        <w:tc>
          <w:tcPr>
            <w:tcW w:w="6429" w:type="dxa"/>
            <w:vAlign w:val="center"/>
          </w:tcPr>
          <w:p w14:paraId="65C78A08" w14:textId="4EAD6FA5" w:rsidR="00E26C5F" w:rsidRPr="00EB0433" w:rsidRDefault="00EB0433" w:rsidP="0079711A">
            <w:pPr>
              <w:pStyle w:val="Default"/>
              <w:numPr>
                <w:ilvl w:val="0"/>
                <w:numId w:val="12"/>
              </w:numPr>
              <w:rPr>
                <w:sz w:val="23"/>
                <w:szCs w:val="23"/>
              </w:rPr>
            </w:pPr>
            <w:r>
              <w:rPr>
                <w:i/>
                <w:iCs/>
                <w:sz w:val="23"/>
                <w:szCs w:val="23"/>
              </w:rPr>
              <w:t xml:space="preserve">(b) </w:t>
            </w:r>
            <w:r>
              <w:rPr>
                <w:sz w:val="23"/>
                <w:szCs w:val="23"/>
              </w:rPr>
              <w:t xml:space="preserve">in respect of a notice under section 48(1) of the Tax Administration Act if the date of the field audit in the notice is on a date within the national lockdown period; </w:t>
            </w:r>
          </w:p>
        </w:tc>
        <w:tc>
          <w:tcPr>
            <w:tcW w:w="4146" w:type="dxa"/>
            <w:vAlign w:val="center"/>
          </w:tcPr>
          <w:p w14:paraId="3307308B" w14:textId="7C2802AB" w:rsidR="00E26C5F" w:rsidRPr="00C25809" w:rsidRDefault="00E26C5F" w:rsidP="00E26C5F">
            <w:pPr>
              <w:spacing w:line="276" w:lineRule="auto"/>
              <w:jc w:val="both"/>
              <w:rPr>
                <w:rFonts w:cs="Arial"/>
                <w:b/>
                <w:color w:val="000000" w:themeColor="text1"/>
                <w:szCs w:val="22"/>
              </w:rPr>
            </w:pPr>
          </w:p>
        </w:tc>
        <w:tc>
          <w:tcPr>
            <w:tcW w:w="3533" w:type="dxa"/>
            <w:vAlign w:val="center"/>
          </w:tcPr>
          <w:p w14:paraId="35DE23F5" w14:textId="77777777" w:rsidR="00E26C5F" w:rsidRPr="00C25809" w:rsidRDefault="00E26C5F" w:rsidP="00E26C5F">
            <w:pPr>
              <w:spacing w:line="276" w:lineRule="auto"/>
              <w:jc w:val="both"/>
              <w:rPr>
                <w:rFonts w:cs="Arial"/>
                <w:b/>
                <w:color w:val="000000" w:themeColor="text1"/>
                <w:szCs w:val="22"/>
              </w:rPr>
            </w:pPr>
          </w:p>
        </w:tc>
      </w:tr>
      <w:tr w:rsidR="00E26C5F" w:rsidRPr="00C25809" w14:paraId="10DF5F0B" w14:textId="77777777" w:rsidTr="00E26C5F">
        <w:trPr>
          <w:trHeight w:val="340"/>
        </w:trPr>
        <w:tc>
          <w:tcPr>
            <w:tcW w:w="6429" w:type="dxa"/>
            <w:vAlign w:val="center"/>
          </w:tcPr>
          <w:p w14:paraId="3ABE7166" w14:textId="29D32DAD" w:rsidR="00E26C5F" w:rsidRPr="00EB0433" w:rsidRDefault="00EB0433" w:rsidP="0079711A">
            <w:pPr>
              <w:pStyle w:val="Default"/>
              <w:numPr>
                <w:ilvl w:val="0"/>
                <w:numId w:val="13"/>
              </w:numPr>
              <w:rPr>
                <w:sz w:val="23"/>
                <w:szCs w:val="23"/>
              </w:rPr>
            </w:pPr>
            <w:r>
              <w:rPr>
                <w:i/>
                <w:iCs/>
                <w:sz w:val="23"/>
                <w:szCs w:val="23"/>
              </w:rPr>
              <w:t xml:space="preserve">(c) </w:t>
            </w:r>
            <w:r>
              <w:rPr>
                <w:sz w:val="23"/>
                <w:szCs w:val="23"/>
              </w:rPr>
              <w:t xml:space="preserve">for a notice to appear at an inquiry under section 53 of the Tax Administration Act if the date of appearance is on a date within the national lockdown period; </w:t>
            </w:r>
          </w:p>
        </w:tc>
        <w:tc>
          <w:tcPr>
            <w:tcW w:w="4146" w:type="dxa"/>
            <w:vAlign w:val="center"/>
          </w:tcPr>
          <w:p w14:paraId="37113A9C" w14:textId="36467997" w:rsidR="00E26C5F" w:rsidRPr="00C25809" w:rsidRDefault="00E26C5F" w:rsidP="00E26C5F">
            <w:pPr>
              <w:spacing w:line="276" w:lineRule="auto"/>
              <w:jc w:val="both"/>
              <w:rPr>
                <w:rFonts w:cs="Arial"/>
                <w:b/>
                <w:color w:val="000000" w:themeColor="text1"/>
                <w:szCs w:val="22"/>
              </w:rPr>
            </w:pPr>
          </w:p>
        </w:tc>
        <w:tc>
          <w:tcPr>
            <w:tcW w:w="3533" w:type="dxa"/>
            <w:vAlign w:val="center"/>
          </w:tcPr>
          <w:p w14:paraId="2B02435F" w14:textId="77777777" w:rsidR="00E26C5F" w:rsidRPr="00C25809" w:rsidRDefault="00E26C5F" w:rsidP="00E26C5F">
            <w:pPr>
              <w:spacing w:line="276" w:lineRule="auto"/>
              <w:jc w:val="both"/>
              <w:rPr>
                <w:rFonts w:cs="Arial"/>
                <w:b/>
                <w:color w:val="000000" w:themeColor="text1"/>
                <w:szCs w:val="22"/>
              </w:rPr>
            </w:pPr>
          </w:p>
        </w:tc>
      </w:tr>
      <w:tr w:rsidR="00E26C5F" w:rsidRPr="00C25809" w14:paraId="1BAC9159" w14:textId="77777777" w:rsidTr="00E26C5F">
        <w:trPr>
          <w:trHeight w:val="340"/>
        </w:trPr>
        <w:tc>
          <w:tcPr>
            <w:tcW w:w="6429" w:type="dxa"/>
            <w:vAlign w:val="center"/>
          </w:tcPr>
          <w:p w14:paraId="6FBEC595" w14:textId="00877E9D" w:rsidR="00E26C5F" w:rsidRPr="00EB0433" w:rsidRDefault="00EB0433" w:rsidP="0079711A">
            <w:pPr>
              <w:pStyle w:val="Default"/>
              <w:numPr>
                <w:ilvl w:val="0"/>
                <w:numId w:val="14"/>
              </w:numPr>
              <w:rPr>
                <w:sz w:val="23"/>
                <w:szCs w:val="23"/>
              </w:rPr>
            </w:pPr>
            <w:r>
              <w:rPr>
                <w:i/>
                <w:iCs/>
                <w:sz w:val="23"/>
                <w:szCs w:val="23"/>
              </w:rPr>
              <w:t xml:space="preserve">(d) </w:t>
            </w:r>
            <w:r>
              <w:rPr>
                <w:sz w:val="23"/>
                <w:szCs w:val="23"/>
              </w:rPr>
              <w:t xml:space="preserve">under section 60(3) in respect of a warrant of search and seizure issued under section 60 of the Tax Administration Act; </w:t>
            </w:r>
          </w:p>
        </w:tc>
        <w:tc>
          <w:tcPr>
            <w:tcW w:w="4146" w:type="dxa"/>
            <w:vAlign w:val="center"/>
          </w:tcPr>
          <w:p w14:paraId="04AECCC2" w14:textId="26387831" w:rsidR="00E26C5F" w:rsidRPr="00C25809" w:rsidRDefault="00E26C5F" w:rsidP="00E26C5F">
            <w:pPr>
              <w:spacing w:line="276" w:lineRule="auto"/>
              <w:jc w:val="both"/>
              <w:rPr>
                <w:rFonts w:cs="Arial"/>
                <w:color w:val="000000" w:themeColor="text1"/>
                <w:szCs w:val="22"/>
              </w:rPr>
            </w:pPr>
          </w:p>
        </w:tc>
        <w:tc>
          <w:tcPr>
            <w:tcW w:w="3533" w:type="dxa"/>
            <w:vAlign w:val="center"/>
          </w:tcPr>
          <w:p w14:paraId="40F1EA0B" w14:textId="77777777" w:rsidR="00E26C5F" w:rsidRPr="00C25809" w:rsidRDefault="00E26C5F" w:rsidP="00E26C5F">
            <w:pPr>
              <w:spacing w:line="276" w:lineRule="auto"/>
              <w:jc w:val="both"/>
              <w:rPr>
                <w:rFonts w:cs="Arial"/>
                <w:color w:val="000000" w:themeColor="text1"/>
                <w:szCs w:val="22"/>
              </w:rPr>
            </w:pPr>
          </w:p>
        </w:tc>
      </w:tr>
      <w:tr w:rsidR="00E26C5F" w:rsidRPr="00C25809" w14:paraId="32358DCB" w14:textId="77777777" w:rsidTr="00E26C5F">
        <w:trPr>
          <w:trHeight w:val="340"/>
        </w:trPr>
        <w:tc>
          <w:tcPr>
            <w:tcW w:w="6429" w:type="dxa"/>
            <w:vAlign w:val="center"/>
          </w:tcPr>
          <w:p w14:paraId="4650C5A5" w14:textId="255886D3" w:rsidR="00E26C5F" w:rsidRPr="00EB0433" w:rsidRDefault="00EB0433" w:rsidP="0079711A">
            <w:pPr>
              <w:pStyle w:val="Default"/>
              <w:numPr>
                <w:ilvl w:val="0"/>
                <w:numId w:val="15"/>
              </w:numPr>
              <w:rPr>
                <w:sz w:val="23"/>
                <w:szCs w:val="23"/>
              </w:rPr>
            </w:pPr>
            <w:r>
              <w:rPr>
                <w:i/>
                <w:iCs/>
                <w:sz w:val="23"/>
                <w:szCs w:val="23"/>
              </w:rPr>
              <w:t xml:space="preserve">(e) </w:t>
            </w:r>
            <w:r>
              <w:rPr>
                <w:sz w:val="23"/>
                <w:szCs w:val="23"/>
              </w:rPr>
              <w:t xml:space="preserve">in respect of an application for a ruling under Chapter 7 of the Tax Administration Act; </w:t>
            </w:r>
          </w:p>
        </w:tc>
        <w:tc>
          <w:tcPr>
            <w:tcW w:w="4146" w:type="dxa"/>
            <w:vAlign w:val="center"/>
          </w:tcPr>
          <w:p w14:paraId="23BB1B44" w14:textId="29DADF55" w:rsidR="00E26C5F" w:rsidRPr="00C25809" w:rsidRDefault="00E26C5F" w:rsidP="00E26C5F">
            <w:pPr>
              <w:spacing w:line="276" w:lineRule="auto"/>
              <w:jc w:val="both"/>
              <w:rPr>
                <w:rFonts w:cs="Arial"/>
                <w:color w:val="000000" w:themeColor="text1"/>
                <w:szCs w:val="22"/>
              </w:rPr>
            </w:pPr>
          </w:p>
        </w:tc>
        <w:tc>
          <w:tcPr>
            <w:tcW w:w="3533" w:type="dxa"/>
            <w:vAlign w:val="center"/>
          </w:tcPr>
          <w:p w14:paraId="5C11CEC0" w14:textId="77777777" w:rsidR="00E26C5F" w:rsidRPr="00C25809" w:rsidRDefault="00E26C5F" w:rsidP="00E26C5F">
            <w:pPr>
              <w:spacing w:line="276" w:lineRule="auto"/>
              <w:jc w:val="both"/>
              <w:rPr>
                <w:rFonts w:cs="Arial"/>
                <w:color w:val="000000" w:themeColor="text1"/>
                <w:szCs w:val="22"/>
              </w:rPr>
            </w:pPr>
          </w:p>
        </w:tc>
      </w:tr>
      <w:tr w:rsidR="00E26C5F" w:rsidRPr="00C25809" w14:paraId="2398CC2A" w14:textId="77777777" w:rsidTr="00E26C5F">
        <w:trPr>
          <w:trHeight w:val="340"/>
        </w:trPr>
        <w:tc>
          <w:tcPr>
            <w:tcW w:w="6429" w:type="dxa"/>
            <w:vAlign w:val="center"/>
          </w:tcPr>
          <w:p w14:paraId="4B8D69C1" w14:textId="26FE23BD" w:rsidR="00E26C5F" w:rsidRPr="00852DE7" w:rsidRDefault="00A17898" w:rsidP="0079711A">
            <w:pPr>
              <w:pStyle w:val="Default"/>
              <w:numPr>
                <w:ilvl w:val="0"/>
                <w:numId w:val="16"/>
              </w:numPr>
              <w:rPr>
                <w:sz w:val="23"/>
                <w:szCs w:val="23"/>
              </w:rPr>
            </w:pPr>
            <w:r>
              <w:rPr>
                <w:i/>
                <w:iCs/>
                <w:sz w:val="23"/>
                <w:szCs w:val="23"/>
              </w:rPr>
              <w:t xml:space="preserve">(f) </w:t>
            </w:r>
            <w:r>
              <w:rPr>
                <w:sz w:val="23"/>
                <w:szCs w:val="23"/>
              </w:rPr>
              <w:t xml:space="preserve">under section 99(1) of the Tax Administration Act; </w:t>
            </w:r>
          </w:p>
        </w:tc>
        <w:tc>
          <w:tcPr>
            <w:tcW w:w="4146" w:type="dxa"/>
            <w:vAlign w:val="center"/>
          </w:tcPr>
          <w:p w14:paraId="0B1EF61F" w14:textId="11513AC1" w:rsidR="00E26C5F" w:rsidRPr="00C25809" w:rsidRDefault="00E26C5F" w:rsidP="00E26C5F">
            <w:pPr>
              <w:spacing w:line="276" w:lineRule="auto"/>
              <w:jc w:val="both"/>
              <w:rPr>
                <w:rFonts w:cs="Arial"/>
                <w:color w:val="000000" w:themeColor="text1"/>
                <w:szCs w:val="22"/>
              </w:rPr>
            </w:pPr>
          </w:p>
        </w:tc>
        <w:tc>
          <w:tcPr>
            <w:tcW w:w="3533" w:type="dxa"/>
            <w:vAlign w:val="center"/>
          </w:tcPr>
          <w:p w14:paraId="3DD4B10B" w14:textId="77777777" w:rsidR="00E26C5F" w:rsidRPr="00C25809" w:rsidRDefault="00E26C5F" w:rsidP="00E26C5F">
            <w:pPr>
              <w:spacing w:line="276" w:lineRule="auto"/>
              <w:jc w:val="both"/>
              <w:rPr>
                <w:rFonts w:cs="Arial"/>
                <w:color w:val="000000" w:themeColor="text1"/>
                <w:szCs w:val="22"/>
              </w:rPr>
            </w:pPr>
          </w:p>
        </w:tc>
      </w:tr>
      <w:tr w:rsidR="00E26C5F" w:rsidRPr="00C25809" w14:paraId="04961117" w14:textId="77777777" w:rsidTr="00E26C5F">
        <w:trPr>
          <w:trHeight w:val="340"/>
        </w:trPr>
        <w:tc>
          <w:tcPr>
            <w:tcW w:w="6429" w:type="dxa"/>
            <w:vAlign w:val="center"/>
          </w:tcPr>
          <w:p w14:paraId="37DD2094" w14:textId="66DE0354" w:rsidR="00E26C5F" w:rsidRPr="00A17898" w:rsidRDefault="00A17898" w:rsidP="0079711A">
            <w:pPr>
              <w:pStyle w:val="Default"/>
              <w:numPr>
                <w:ilvl w:val="0"/>
                <w:numId w:val="17"/>
              </w:numPr>
              <w:rPr>
                <w:sz w:val="23"/>
                <w:szCs w:val="23"/>
              </w:rPr>
            </w:pPr>
            <w:r>
              <w:rPr>
                <w:i/>
                <w:iCs/>
                <w:sz w:val="23"/>
                <w:szCs w:val="23"/>
              </w:rPr>
              <w:t xml:space="preserve">(g) </w:t>
            </w:r>
            <w:r>
              <w:rPr>
                <w:sz w:val="23"/>
                <w:szCs w:val="23"/>
              </w:rPr>
              <w:t>in relation to section 100 of the Tax Administration Act, except for section 100(1)(a)</w:t>
            </w:r>
            <w:r>
              <w:rPr>
                <w:i/>
                <w:iCs/>
                <w:sz w:val="23"/>
                <w:szCs w:val="23"/>
              </w:rPr>
              <w:t>(</w:t>
            </w:r>
            <w:proofErr w:type="spellStart"/>
            <w:r>
              <w:rPr>
                <w:i/>
                <w:iCs/>
                <w:sz w:val="23"/>
                <w:szCs w:val="23"/>
              </w:rPr>
              <w:t>i</w:t>
            </w:r>
            <w:proofErr w:type="spellEnd"/>
            <w:r>
              <w:rPr>
                <w:i/>
                <w:iCs/>
                <w:sz w:val="23"/>
                <w:szCs w:val="23"/>
              </w:rPr>
              <w:t>)</w:t>
            </w:r>
            <w:r>
              <w:rPr>
                <w:sz w:val="23"/>
                <w:szCs w:val="23"/>
              </w:rPr>
              <w:t xml:space="preserve">; </w:t>
            </w:r>
          </w:p>
        </w:tc>
        <w:tc>
          <w:tcPr>
            <w:tcW w:w="4146" w:type="dxa"/>
            <w:vAlign w:val="center"/>
          </w:tcPr>
          <w:p w14:paraId="3937A5E2" w14:textId="00E17816" w:rsidR="00E26C5F" w:rsidRPr="00C25809" w:rsidRDefault="00E26C5F" w:rsidP="00E26C5F">
            <w:pPr>
              <w:spacing w:line="276" w:lineRule="auto"/>
              <w:jc w:val="both"/>
              <w:rPr>
                <w:rFonts w:cs="Arial"/>
                <w:color w:val="000000" w:themeColor="text1"/>
                <w:szCs w:val="22"/>
              </w:rPr>
            </w:pPr>
          </w:p>
        </w:tc>
        <w:tc>
          <w:tcPr>
            <w:tcW w:w="3533" w:type="dxa"/>
            <w:vAlign w:val="center"/>
          </w:tcPr>
          <w:p w14:paraId="26E399F5" w14:textId="77777777" w:rsidR="00E26C5F" w:rsidRPr="00C25809" w:rsidRDefault="00E26C5F" w:rsidP="00E26C5F">
            <w:pPr>
              <w:spacing w:line="276" w:lineRule="auto"/>
              <w:jc w:val="both"/>
              <w:rPr>
                <w:rFonts w:cs="Arial"/>
                <w:color w:val="000000" w:themeColor="text1"/>
                <w:szCs w:val="22"/>
              </w:rPr>
            </w:pPr>
          </w:p>
        </w:tc>
      </w:tr>
      <w:tr w:rsidR="00E26C5F" w:rsidRPr="00C25809" w14:paraId="031A12E9" w14:textId="77777777" w:rsidTr="00E26C5F">
        <w:trPr>
          <w:trHeight w:val="340"/>
        </w:trPr>
        <w:tc>
          <w:tcPr>
            <w:tcW w:w="6429" w:type="dxa"/>
            <w:vAlign w:val="center"/>
          </w:tcPr>
          <w:p w14:paraId="0C1A64F8" w14:textId="58C87240" w:rsidR="00E26C5F" w:rsidRPr="00A17898" w:rsidRDefault="00A17898" w:rsidP="0079711A">
            <w:pPr>
              <w:pStyle w:val="Default"/>
              <w:numPr>
                <w:ilvl w:val="0"/>
                <w:numId w:val="18"/>
              </w:numPr>
              <w:rPr>
                <w:sz w:val="23"/>
                <w:szCs w:val="23"/>
              </w:rPr>
            </w:pPr>
            <w:r>
              <w:rPr>
                <w:i/>
                <w:iCs/>
                <w:sz w:val="23"/>
                <w:szCs w:val="23"/>
              </w:rPr>
              <w:t xml:space="preserve">(h) </w:t>
            </w:r>
            <w:r>
              <w:rPr>
                <w:sz w:val="23"/>
                <w:szCs w:val="23"/>
              </w:rPr>
              <w:t xml:space="preserve">in respect of dispute resolution under Chapter 9 of the Tax Administration Act, including the dispute resolution rules under section 103; </w:t>
            </w:r>
          </w:p>
        </w:tc>
        <w:tc>
          <w:tcPr>
            <w:tcW w:w="4146" w:type="dxa"/>
            <w:vAlign w:val="center"/>
          </w:tcPr>
          <w:p w14:paraId="6BA027C0" w14:textId="7FB51943" w:rsidR="00E26C5F" w:rsidRPr="00C25809" w:rsidRDefault="00E26C5F" w:rsidP="00E26C5F">
            <w:pPr>
              <w:spacing w:line="276" w:lineRule="auto"/>
              <w:jc w:val="both"/>
              <w:rPr>
                <w:rFonts w:cs="Arial"/>
                <w:color w:val="000000" w:themeColor="text1"/>
                <w:szCs w:val="22"/>
              </w:rPr>
            </w:pPr>
          </w:p>
        </w:tc>
        <w:tc>
          <w:tcPr>
            <w:tcW w:w="3533" w:type="dxa"/>
            <w:vAlign w:val="center"/>
          </w:tcPr>
          <w:p w14:paraId="7A21F0A6" w14:textId="77777777" w:rsidR="00E26C5F" w:rsidRPr="00C25809" w:rsidRDefault="00E26C5F" w:rsidP="00E26C5F">
            <w:pPr>
              <w:spacing w:line="276" w:lineRule="auto"/>
              <w:jc w:val="both"/>
              <w:rPr>
                <w:rFonts w:cs="Arial"/>
                <w:color w:val="000000" w:themeColor="text1"/>
                <w:szCs w:val="22"/>
              </w:rPr>
            </w:pPr>
          </w:p>
        </w:tc>
      </w:tr>
      <w:tr w:rsidR="00E26C5F" w:rsidRPr="00C25809" w14:paraId="0159CB24" w14:textId="77777777" w:rsidTr="00E26C5F">
        <w:trPr>
          <w:trHeight w:val="340"/>
        </w:trPr>
        <w:tc>
          <w:tcPr>
            <w:tcW w:w="6429" w:type="dxa"/>
            <w:vAlign w:val="center"/>
          </w:tcPr>
          <w:p w14:paraId="1A5418D6" w14:textId="1AB0F786" w:rsidR="00E26C5F" w:rsidRPr="00852DE7" w:rsidRDefault="00852DE7" w:rsidP="0079711A">
            <w:pPr>
              <w:pStyle w:val="Default"/>
              <w:numPr>
                <w:ilvl w:val="0"/>
                <w:numId w:val="19"/>
              </w:numPr>
              <w:rPr>
                <w:sz w:val="23"/>
                <w:szCs w:val="23"/>
              </w:rPr>
            </w:pPr>
            <w:r>
              <w:rPr>
                <w:i/>
                <w:iCs/>
                <w:sz w:val="23"/>
                <w:szCs w:val="23"/>
              </w:rPr>
              <w:t>(</w:t>
            </w:r>
            <w:proofErr w:type="spellStart"/>
            <w:r>
              <w:rPr>
                <w:i/>
                <w:iCs/>
                <w:sz w:val="23"/>
                <w:szCs w:val="23"/>
              </w:rPr>
              <w:t>i</w:t>
            </w:r>
            <w:proofErr w:type="spellEnd"/>
            <w:r>
              <w:rPr>
                <w:i/>
                <w:iCs/>
                <w:sz w:val="23"/>
                <w:szCs w:val="23"/>
              </w:rPr>
              <w:t xml:space="preserve">) </w:t>
            </w:r>
            <w:r>
              <w:rPr>
                <w:sz w:val="23"/>
                <w:szCs w:val="23"/>
              </w:rPr>
              <w:t xml:space="preserve">in respect of the application for the remittance of penalties under section 215(3) of the Tax Administration Act; </w:t>
            </w:r>
          </w:p>
        </w:tc>
        <w:tc>
          <w:tcPr>
            <w:tcW w:w="4146" w:type="dxa"/>
            <w:vAlign w:val="center"/>
          </w:tcPr>
          <w:p w14:paraId="27499952" w14:textId="7CA214D3" w:rsidR="00E26C5F" w:rsidRPr="00C25809" w:rsidRDefault="00E26C5F" w:rsidP="00E26C5F">
            <w:pPr>
              <w:spacing w:line="276" w:lineRule="auto"/>
              <w:jc w:val="both"/>
              <w:rPr>
                <w:rFonts w:cs="Arial"/>
                <w:color w:val="000000" w:themeColor="text1"/>
                <w:szCs w:val="22"/>
              </w:rPr>
            </w:pPr>
          </w:p>
        </w:tc>
        <w:tc>
          <w:tcPr>
            <w:tcW w:w="3533" w:type="dxa"/>
            <w:vAlign w:val="center"/>
          </w:tcPr>
          <w:p w14:paraId="4D8BA585" w14:textId="77777777" w:rsidR="00E26C5F" w:rsidRPr="00C25809" w:rsidRDefault="00E26C5F" w:rsidP="00E26C5F">
            <w:pPr>
              <w:spacing w:line="276" w:lineRule="auto"/>
              <w:jc w:val="both"/>
              <w:rPr>
                <w:rFonts w:cs="Arial"/>
                <w:color w:val="000000" w:themeColor="text1"/>
                <w:szCs w:val="22"/>
              </w:rPr>
            </w:pPr>
          </w:p>
        </w:tc>
      </w:tr>
      <w:tr w:rsidR="00E26C5F" w:rsidRPr="00C25809" w14:paraId="059B04F2" w14:textId="77777777" w:rsidTr="00E26C5F">
        <w:trPr>
          <w:trHeight w:val="340"/>
        </w:trPr>
        <w:tc>
          <w:tcPr>
            <w:tcW w:w="6429" w:type="dxa"/>
            <w:vAlign w:val="center"/>
          </w:tcPr>
          <w:p w14:paraId="6CD2E62A" w14:textId="626E5A3A" w:rsidR="00E26C5F" w:rsidRPr="00852DE7" w:rsidRDefault="00852DE7" w:rsidP="0079711A">
            <w:pPr>
              <w:pStyle w:val="Default"/>
              <w:numPr>
                <w:ilvl w:val="0"/>
                <w:numId w:val="20"/>
              </w:numPr>
              <w:rPr>
                <w:sz w:val="23"/>
                <w:szCs w:val="23"/>
              </w:rPr>
            </w:pPr>
            <w:r>
              <w:rPr>
                <w:i/>
                <w:iCs/>
                <w:sz w:val="23"/>
                <w:szCs w:val="23"/>
              </w:rPr>
              <w:t xml:space="preserve">(j) </w:t>
            </w:r>
            <w:r>
              <w:rPr>
                <w:sz w:val="23"/>
                <w:szCs w:val="23"/>
              </w:rPr>
              <w:t xml:space="preserve">in respect of a penalty incorrectly assessed under section 219 of the Tax Administration Act; </w:t>
            </w:r>
          </w:p>
        </w:tc>
        <w:tc>
          <w:tcPr>
            <w:tcW w:w="4146" w:type="dxa"/>
            <w:vAlign w:val="center"/>
          </w:tcPr>
          <w:p w14:paraId="71D4BB0A" w14:textId="095B6334" w:rsidR="00E26C5F" w:rsidRPr="00C25809" w:rsidRDefault="00E26C5F" w:rsidP="00E26C5F">
            <w:pPr>
              <w:spacing w:line="276" w:lineRule="auto"/>
              <w:jc w:val="both"/>
              <w:rPr>
                <w:rFonts w:cs="Arial"/>
                <w:color w:val="000000" w:themeColor="text1"/>
                <w:szCs w:val="22"/>
              </w:rPr>
            </w:pPr>
          </w:p>
        </w:tc>
        <w:tc>
          <w:tcPr>
            <w:tcW w:w="3533" w:type="dxa"/>
            <w:vAlign w:val="center"/>
          </w:tcPr>
          <w:p w14:paraId="091855AA" w14:textId="77777777" w:rsidR="00E26C5F" w:rsidRPr="00C25809" w:rsidRDefault="00E26C5F" w:rsidP="00E26C5F">
            <w:pPr>
              <w:spacing w:line="276" w:lineRule="auto"/>
              <w:jc w:val="both"/>
              <w:rPr>
                <w:rFonts w:cs="Arial"/>
                <w:color w:val="000000" w:themeColor="text1"/>
                <w:szCs w:val="22"/>
              </w:rPr>
            </w:pPr>
          </w:p>
        </w:tc>
      </w:tr>
      <w:tr w:rsidR="00E26C5F" w:rsidRPr="00C25809" w14:paraId="663CBFED" w14:textId="77777777" w:rsidTr="00E26C5F">
        <w:trPr>
          <w:trHeight w:val="340"/>
        </w:trPr>
        <w:tc>
          <w:tcPr>
            <w:tcW w:w="6429" w:type="dxa"/>
            <w:vAlign w:val="center"/>
          </w:tcPr>
          <w:p w14:paraId="27197582" w14:textId="6344445B" w:rsidR="00E26C5F" w:rsidRPr="00C25809" w:rsidRDefault="003A5A56" w:rsidP="003A5A56">
            <w:pPr>
              <w:spacing w:line="276" w:lineRule="auto"/>
              <w:jc w:val="both"/>
              <w:rPr>
                <w:rFonts w:cs="Arial"/>
                <w:color w:val="000000" w:themeColor="text1"/>
                <w:szCs w:val="22"/>
                <w:lang w:val="en-ZA"/>
              </w:rPr>
            </w:pPr>
            <w:r w:rsidRPr="003A5A56">
              <w:rPr>
                <w:rFonts w:cs="Arial"/>
                <w:color w:val="000000" w:themeColor="text1"/>
                <w:szCs w:val="22"/>
                <w:lang w:val="en-ZA"/>
              </w:rPr>
              <w:lastRenderedPageBreak/>
              <w:t>(k) in respect of the extension of deadlines under section 244(3) of the Tax Administration Act;</w:t>
            </w:r>
          </w:p>
        </w:tc>
        <w:tc>
          <w:tcPr>
            <w:tcW w:w="4146" w:type="dxa"/>
            <w:vAlign w:val="center"/>
          </w:tcPr>
          <w:p w14:paraId="16BDBB8B" w14:textId="2B2C5C68" w:rsidR="00E26C5F" w:rsidRPr="00C25809" w:rsidRDefault="00E26C5F" w:rsidP="00E26C5F">
            <w:pPr>
              <w:spacing w:line="276" w:lineRule="auto"/>
              <w:jc w:val="both"/>
              <w:rPr>
                <w:rFonts w:cs="Arial"/>
                <w:color w:val="000000" w:themeColor="text1"/>
                <w:szCs w:val="22"/>
              </w:rPr>
            </w:pPr>
          </w:p>
        </w:tc>
        <w:tc>
          <w:tcPr>
            <w:tcW w:w="3533" w:type="dxa"/>
            <w:vAlign w:val="center"/>
          </w:tcPr>
          <w:p w14:paraId="07D089A2" w14:textId="77777777" w:rsidR="00E26C5F" w:rsidRPr="00C25809" w:rsidRDefault="00E26C5F" w:rsidP="00E26C5F">
            <w:pPr>
              <w:spacing w:line="276" w:lineRule="auto"/>
              <w:jc w:val="both"/>
              <w:rPr>
                <w:rFonts w:cs="Arial"/>
                <w:color w:val="000000" w:themeColor="text1"/>
                <w:szCs w:val="22"/>
              </w:rPr>
            </w:pPr>
          </w:p>
        </w:tc>
      </w:tr>
      <w:tr w:rsidR="00E26C5F" w:rsidRPr="00C25809" w14:paraId="326E093B" w14:textId="77777777" w:rsidTr="00E26C5F">
        <w:trPr>
          <w:trHeight w:val="340"/>
        </w:trPr>
        <w:tc>
          <w:tcPr>
            <w:tcW w:w="6429" w:type="dxa"/>
            <w:vAlign w:val="center"/>
          </w:tcPr>
          <w:p w14:paraId="439BCA27" w14:textId="55E1C26D" w:rsidR="00E26C5F" w:rsidRPr="00C25809" w:rsidRDefault="003A5A56" w:rsidP="00E26C5F">
            <w:pPr>
              <w:spacing w:line="276" w:lineRule="auto"/>
              <w:jc w:val="both"/>
              <w:rPr>
                <w:rFonts w:cs="Arial"/>
                <w:color w:val="000000" w:themeColor="text1"/>
                <w:szCs w:val="22"/>
                <w:lang w:val="en-ZA"/>
              </w:rPr>
            </w:pPr>
            <w:r w:rsidRPr="003A5A56">
              <w:rPr>
                <w:rFonts w:cs="Arial"/>
                <w:color w:val="000000" w:themeColor="text1"/>
                <w:szCs w:val="22"/>
                <w:lang w:val="en-ZA"/>
              </w:rPr>
              <w:t>(l) for the appointment of a public officer under section 246(2)(d) of the Tax Administration Act; and</w:t>
            </w:r>
          </w:p>
        </w:tc>
        <w:tc>
          <w:tcPr>
            <w:tcW w:w="4146" w:type="dxa"/>
            <w:vAlign w:val="center"/>
          </w:tcPr>
          <w:p w14:paraId="4AA718F4" w14:textId="74D609E6" w:rsidR="00E26C5F" w:rsidRPr="00C25809" w:rsidRDefault="00E26C5F" w:rsidP="00E26C5F">
            <w:pPr>
              <w:spacing w:line="276" w:lineRule="auto"/>
              <w:jc w:val="both"/>
              <w:rPr>
                <w:rFonts w:cs="Arial"/>
                <w:color w:val="000000" w:themeColor="text1"/>
                <w:szCs w:val="22"/>
              </w:rPr>
            </w:pPr>
          </w:p>
        </w:tc>
        <w:tc>
          <w:tcPr>
            <w:tcW w:w="3533" w:type="dxa"/>
            <w:vAlign w:val="center"/>
          </w:tcPr>
          <w:p w14:paraId="077519DE" w14:textId="77777777" w:rsidR="00E26C5F" w:rsidRPr="00C25809" w:rsidRDefault="00E26C5F" w:rsidP="00E26C5F">
            <w:pPr>
              <w:spacing w:line="276" w:lineRule="auto"/>
              <w:jc w:val="both"/>
              <w:rPr>
                <w:rFonts w:cs="Arial"/>
                <w:color w:val="000000" w:themeColor="text1"/>
                <w:szCs w:val="22"/>
              </w:rPr>
            </w:pPr>
          </w:p>
        </w:tc>
      </w:tr>
      <w:tr w:rsidR="00E26C5F" w:rsidRPr="00C25809" w14:paraId="10280CA1" w14:textId="77777777" w:rsidTr="00E26C5F">
        <w:trPr>
          <w:trHeight w:val="340"/>
        </w:trPr>
        <w:tc>
          <w:tcPr>
            <w:tcW w:w="6429" w:type="dxa"/>
            <w:vAlign w:val="center"/>
          </w:tcPr>
          <w:p w14:paraId="5FAEFC4B" w14:textId="50ECB3C7" w:rsidR="00E26C5F" w:rsidRPr="00C25809" w:rsidRDefault="003A5A56" w:rsidP="00E26C5F">
            <w:pPr>
              <w:spacing w:line="276" w:lineRule="auto"/>
              <w:jc w:val="both"/>
              <w:rPr>
                <w:rFonts w:cs="Arial"/>
                <w:iCs/>
                <w:color w:val="000000" w:themeColor="text1"/>
                <w:szCs w:val="22"/>
                <w:u w:val="single"/>
                <w:lang w:val="en-ZA"/>
              </w:rPr>
            </w:pPr>
            <w:r w:rsidRPr="003A5A56">
              <w:rPr>
                <w:rFonts w:cs="Arial"/>
                <w:color w:val="000000" w:themeColor="text1"/>
                <w:szCs w:val="22"/>
                <w:lang w:val="en-ZA"/>
              </w:rPr>
              <w:t>(m) in respect of revoking third party access under section 256(6) of the Tax Administration Act.</w:t>
            </w:r>
          </w:p>
        </w:tc>
        <w:tc>
          <w:tcPr>
            <w:tcW w:w="4146" w:type="dxa"/>
            <w:vAlign w:val="center"/>
          </w:tcPr>
          <w:p w14:paraId="5711B285" w14:textId="7DBBBC1E" w:rsidR="00E26C5F" w:rsidRPr="00C25809" w:rsidRDefault="00E26C5F" w:rsidP="00E26C5F">
            <w:pPr>
              <w:spacing w:line="276" w:lineRule="auto"/>
              <w:jc w:val="both"/>
              <w:rPr>
                <w:rFonts w:cs="Arial"/>
                <w:color w:val="000000" w:themeColor="text1"/>
                <w:szCs w:val="22"/>
              </w:rPr>
            </w:pPr>
          </w:p>
        </w:tc>
        <w:tc>
          <w:tcPr>
            <w:tcW w:w="3533" w:type="dxa"/>
            <w:vAlign w:val="center"/>
          </w:tcPr>
          <w:p w14:paraId="5CFA7A05" w14:textId="77777777" w:rsidR="00E26C5F" w:rsidRPr="00C25809" w:rsidRDefault="00E26C5F" w:rsidP="00E26C5F">
            <w:pPr>
              <w:spacing w:line="276" w:lineRule="auto"/>
              <w:jc w:val="both"/>
              <w:rPr>
                <w:rFonts w:cs="Arial"/>
                <w:color w:val="000000" w:themeColor="text1"/>
                <w:szCs w:val="22"/>
              </w:rPr>
            </w:pPr>
          </w:p>
        </w:tc>
      </w:tr>
      <w:tr w:rsidR="00E26C5F" w:rsidRPr="00C25809" w14:paraId="41F469FF" w14:textId="77777777" w:rsidTr="00E26C5F">
        <w:trPr>
          <w:trHeight w:val="340"/>
        </w:trPr>
        <w:tc>
          <w:tcPr>
            <w:tcW w:w="6429" w:type="dxa"/>
            <w:vAlign w:val="center"/>
          </w:tcPr>
          <w:p w14:paraId="5A43979D" w14:textId="1991872A" w:rsidR="00E26C5F" w:rsidRPr="00C25809" w:rsidRDefault="006737AD" w:rsidP="00E26C5F">
            <w:pPr>
              <w:spacing w:line="276" w:lineRule="auto"/>
              <w:jc w:val="both"/>
              <w:rPr>
                <w:rFonts w:cs="Arial"/>
                <w:color w:val="000000" w:themeColor="text1"/>
                <w:szCs w:val="22"/>
                <w:u w:val="single"/>
                <w:lang w:val="en-ZA"/>
              </w:rPr>
            </w:pPr>
            <w:r>
              <w:rPr>
                <w:sz w:val="23"/>
                <w:szCs w:val="23"/>
              </w:rPr>
              <w:t>(2) For purposes of the Customs and Excise Act, 1964 (Act No. 91 of 1964), including the Rules under and Schedules to that Act, the following measures will apply:</w:t>
            </w:r>
          </w:p>
        </w:tc>
        <w:tc>
          <w:tcPr>
            <w:tcW w:w="4146" w:type="dxa"/>
            <w:vAlign w:val="center"/>
          </w:tcPr>
          <w:p w14:paraId="6E1C3E7F" w14:textId="0CCB2115" w:rsidR="00E26C5F" w:rsidRPr="00C25809" w:rsidRDefault="00E26C5F" w:rsidP="00E26C5F">
            <w:pPr>
              <w:spacing w:line="276" w:lineRule="auto"/>
              <w:jc w:val="both"/>
              <w:rPr>
                <w:rFonts w:cs="Arial"/>
                <w:color w:val="000000" w:themeColor="text1"/>
                <w:szCs w:val="22"/>
              </w:rPr>
            </w:pPr>
          </w:p>
        </w:tc>
        <w:tc>
          <w:tcPr>
            <w:tcW w:w="3533" w:type="dxa"/>
            <w:vAlign w:val="center"/>
          </w:tcPr>
          <w:p w14:paraId="4C966D85" w14:textId="77777777" w:rsidR="00E26C5F" w:rsidRPr="00C25809" w:rsidRDefault="00E26C5F" w:rsidP="00E26C5F">
            <w:pPr>
              <w:spacing w:line="276" w:lineRule="auto"/>
              <w:jc w:val="both"/>
              <w:rPr>
                <w:rFonts w:cs="Arial"/>
                <w:color w:val="000000" w:themeColor="text1"/>
                <w:szCs w:val="22"/>
              </w:rPr>
            </w:pPr>
          </w:p>
        </w:tc>
      </w:tr>
      <w:tr w:rsidR="00E26C5F" w:rsidRPr="00C25809" w14:paraId="3ECF733F" w14:textId="77777777" w:rsidTr="00E26C5F">
        <w:trPr>
          <w:trHeight w:val="340"/>
        </w:trPr>
        <w:tc>
          <w:tcPr>
            <w:tcW w:w="6429" w:type="dxa"/>
            <w:vAlign w:val="center"/>
          </w:tcPr>
          <w:p w14:paraId="423132B0" w14:textId="76257BAD" w:rsidR="00E26C5F" w:rsidRPr="006737AD" w:rsidRDefault="006737AD" w:rsidP="0079711A">
            <w:pPr>
              <w:pStyle w:val="Default"/>
              <w:numPr>
                <w:ilvl w:val="0"/>
                <w:numId w:val="21"/>
              </w:numPr>
              <w:rPr>
                <w:sz w:val="23"/>
                <w:szCs w:val="23"/>
              </w:rPr>
            </w:pPr>
            <w:r>
              <w:rPr>
                <w:i/>
                <w:iCs/>
                <w:sz w:val="23"/>
                <w:szCs w:val="23"/>
              </w:rPr>
              <w:t xml:space="preserve">(a) </w:t>
            </w:r>
            <w:r>
              <w:rPr>
                <w:sz w:val="23"/>
                <w:szCs w:val="23"/>
              </w:rPr>
              <w:t xml:space="preserve">The period of the national lockdown— </w:t>
            </w:r>
          </w:p>
        </w:tc>
        <w:tc>
          <w:tcPr>
            <w:tcW w:w="4146" w:type="dxa"/>
            <w:vAlign w:val="center"/>
          </w:tcPr>
          <w:p w14:paraId="74726A98" w14:textId="6A6CEC4A" w:rsidR="00E26C5F" w:rsidRPr="00C25809" w:rsidRDefault="00E26C5F" w:rsidP="00E26C5F">
            <w:pPr>
              <w:spacing w:line="276" w:lineRule="auto"/>
              <w:jc w:val="both"/>
              <w:rPr>
                <w:rFonts w:cs="Arial"/>
                <w:color w:val="000000" w:themeColor="text1"/>
                <w:szCs w:val="22"/>
              </w:rPr>
            </w:pPr>
          </w:p>
        </w:tc>
        <w:tc>
          <w:tcPr>
            <w:tcW w:w="3533" w:type="dxa"/>
            <w:vAlign w:val="center"/>
          </w:tcPr>
          <w:p w14:paraId="64702F32" w14:textId="77777777" w:rsidR="00E26C5F" w:rsidRPr="00C25809" w:rsidRDefault="00E26C5F" w:rsidP="00E26C5F">
            <w:pPr>
              <w:spacing w:line="276" w:lineRule="auto"/>
              <w:jc w:val="both"/>
              <w:rPr>
                <w:rFonts w:cs="Arial"/>
                <w:color w:val="000000" w:themeColor="text1"/>
                <w:szCs w:val="22"/>
              </w:rPr>
            </w:pPr>
          </w:p>
        </w:tc>
      </w:tr>
      <w:tr w:rsidR="00E26C5F" w:rsidRPr="00C25809" w14:paraId="2D749C1B" w14:textId="77777777" w:rsidTr="00E26C5F">
        <w:trPr>
          <w:trHeight w:val="340"/>
        </w:trPr>
        <w:tc>
          <w:tcPr>
            <w:tcW w:w="6429" w:type="dxa"/>
            <w:vAlign w:val="center"/>
          </w:tcPr>
          <w:p w14:paraId="378508CF" w14:textId="628CEE42" w:rsidR="00E26C5F" w:rsidRPr="006737AD" w:rsidRDefault="006737AD" w:rsidP="0079711A">
            <w:pPr>
              <w:pStyle w:val="Default"/>
              <w:numPr>
                <w:ilvl w:val="0"/>
                <w:numId w:val="22"/>
              </w:numPr>
              <w:rPr>
                <w:sz w:val="23"/>
                <w:szCs w:val="23"/>
              </w:rPr>
            </w:pPr>
            <w:r>
              <w:rPr>
                <w:sz w:val="23"/>
                <w:szCs w:val="23"/>
              </w:rPr>
              <w:t>(</w:t>
            </w:r>
            <w:proofErr w:type="spellStart"/>
            <w:r>
              <w:rPr>
                <w:sz w:val="23"/>
                <w:szCs w:val="23"/>
              </w:rPr>
              <w:t>i</w:t>
            </w:r>
            <w:proofErr w:type="spellEnd"/>
            <w:r>
              <w:rPr>
                <w:sz w:val="23"/>
                <w:szCs w:val="23"/>
              </w:rPr>
              <w:t xml:space="preserve">) will, subject to paragraph </w:t>
            </w:r>
            <w:r>
              <w:rPr>
                <w:i/>
                <w:iCs/>
                <w:sz w:val="23"/>
                <w:szCs w:val="23"/>
              </w:rPr>
              <w:t>(b)</w:t>
            </w:r>
            <w:r>
              <w:rPr>
                <w:sz w:val="23"/>
                <w:szCs w:val="23"/>
              </w:rPr>
              <w:t xml:space="preserve">, be regarded as </w:t>
            </w:r>
            <w:r>
              <w:rPr>
                <w:i/>
                <w:iCs/>
                <w:sz w:val="23"/>
                <w:szCs w:val="23"/>
              </w:rPr>
              <w:t xml:space="preserve">dies non </w:t>
            </w:r>
            <w:r>
              <w:rPr>
                <w:sz w:val="23"/>
                <w:szCs w:val="23"/>
              </w:rPr>
              <w:t xml:space="preserve">in respect of the calculation of any time period prescribed— </w:t>
            </w:r>
          </w:p>
        </w:tc>
        <w:tc>
          <w:tcPr>
            <w:tcW w:w="4146" w:type="dxa"/>
            <w:vAlign w:val="center"/>
          </w:tcPr>
          <w:p w14:paraId="05AFCDA3" w14:textId="13B6C7C5" w:rsidR="00E26C5F" w:rsidRPr="00C25809" w:rsidRDefault="00E26C5F" w:rsidP="00E26C5F">
            <w:pPr>
              <w:spacing w:line="276" w:lineRule="auto"/>
              <w:jc w:val="both"/>
              <w:rPr>
                <w:rFonts w:cs="Arial"/>
                <w:color w:val="000000" w:themeColor="text1"/>
                <w:szCs w:val="22"/>
              </w:rPr>
            </w:pPr>
          </w:p>
        </w:tc>
        <w:tc>
          <w:tcPr>
            <w:tcW w:w="3533" w:type="dxa"/>
            <w:vAlign w:val="center"/>
          </w:tcPr>
          <w:p w14:paraId="447090ED" w14:textId="77777777" w:rsidR="00E26C5F" w:rsidRPr="00C25809" w:rsidRDefault="00E26C5F" w:rsidP="00E26C5F">
            <w:pPr>
              <w:spacing w:line="276" w:lineRule="auto"/>
              <w:jc w:val="both"/>
              <w:rPr>
                <w:rFonts w:cs="Arial"/>
                <w:color w:val="000000" w:themeColor="text1"/>
                <w:szCs w:val="22"/>
              </w:rPr>
            </w:pPr>
          </w:p>
        </w:tc>
      </w:tr>
      <w:tr w:rsidR="00E26C5F" w:rsidRPr="00C25809" w14:paraId="3B0C85B0" w14:textId="77777777" w:rsidTr="00E26C5F">
        <w:trPr>
          <w:trHeight w:val="340"/>
        </w:trPr>
        <w:tc>
          <w:tcPr>
            <w:tcW w:w="6429" w:type="dxa"/>
            <w:vAlign w:val="center"/>
          </w:tcPr>
          <w:p w14:paraId="6D9580A3" w14:textId="6CDB310E" w:rsidR="00E26C5F" w:rsidRPr="00C25809" w:rsidRDefault="00B5103B" w:rsidP="00E26C5F">
            <w:pPr>
              <w:spacing w:line="276" w:lineRule="auto"/>
              <w:jc w:val="both"/>
              <w:rPr>
                <w:rFonts w:cs="Arial"/>
                <w:color w:val="000000" w:themeColor="text1"/>
                <w:szCs w:val="22"/>
                <w:u w:val="single"/>
              </w:rPr>
            </w:pPr>
            <w:r>
              <w:rPr>
                <w:i/>
                <w:iCs/>
                <w:sz w:val="23"/>
                <w:szCs w:val="23"/>
              </w:rPr>
              <w:t xml:space="preserve">(aa) </w:t>
            </w:r>
            <w:r>
              <w:rPr>
                <w:sz w:val="23"/>
                <w:szCs w:val="23"/>
              </w:rPr>
              <w:t>for the furnishing of documents or proof, excluding supporting documents or proof referred to in subparagraph (ii)</w:t>
            </w:r>
            <w:r>
              <w:rPr>
                <w:i/>
                <w:iCs/>
                <w:sz w:val="23"/>
                <w:szCs w:val="23"/>
              </w:rPr>
              <w:t>(cc)</w:t>
            </w:r>
            <w:r>
              <w:rPr>
                <w:sz w:val="23"/>
                <w:szCs w:val="23"/>
              </w:rPr>
              <w:t>;</w:t>
            </w:r>
          </w:p>
        </w:tc>
        <w:tc>
          <w:tcPr>
            <w:tcW w:w="4146" w:type="dxa"/>
            <w:vAlign w:val="center"/>
          </w:tcPr>
          <w:p w14:paraId="1B74DC56" w14:textId="258FC5E8" w:rsidR="00E26C5F" w:rsidRPr="00C25809" w:rsidRDefault="00E26C5F" w:rsidP="00E26C5F">
            <w:pPr>
              <w:spacing w:line="276" w:lineRule="auto"/>
              <w:jc w:val="both"/>
              <w:rPr>
                <w:rFonts w:cs="Arial"/>
                <w:color w:val="000000" w:themeColor="text1"/>
                <w:szCs w:val="22"/>
              </w:rPr>
            </w:pPr>
          </w:p>
        </w:tc>
        <w:tc>
          <w:tcPr>
            <w:tcW w:w="3533" w:type="dxa"/>
            <w:vAlign w:val="center"/>
          </w:tcPr>
          <w:p w14:paraId="6D35911A" w14:textId="77777777" w:rsidR="00E26C5F" w:rsidRPr="00C25809" w:rsidRDefault="00E26C5F" w:rsidP="00E26C5F">
            <w:pPr>
              <w:spacing w:line="276" w:lineRule="auto"/>
              <w:jc w:val="both"/>
              <w:rPr>
                <w:rFonts w:cs="Arial"/>
                <w:color w:val="000000" w:themeColor="text1"/>
                <w:szCs w:val="22"/>
              </w:rPr>
            </w:pPr>
          </w:p>
        </w:tc>
      </w:tr>
      <w:tr w:rsidR="00E26C5F" w:rsidRPr="00C25809" w14:paraId="790B4BE1" w14:textId="77777777" w:rsidTr="00E26C5F">
        <w:trPr>
          <w:trHeight w:val="340"/>
        </w:trPr>
        <w:tc>
          <w:tcPr>
            <w:tcW w:w="6429" w:type="dxa"/>
            <w:vAlign w:val="center"/>
          </w:tcPr>
          <w:p w14:paraId="4C545E11" w14:textId="060F96BD" w:rsidR="00E26C5F" w:rsidRPr="00C25809" w:rsidRDefault="00B5103B" w:rsidP="00E26C5F">
            <w:pPr>
              <w:spacing w:line="276" w:lineRule="auto"/>
              <w:jc w:val="both"/>
              <w:rPr>
                <w:rFonts w:cs="Arial"/>
                <w:color w:val="000000" w:themeColor="text1"/>
                <w:szCs w:val="22"/>
                <w:u w:val="single"/>
              </w:rPr>
            </w:pPr>
            <w:r>
              <w:rPr>
                <w:i/>
                <w:iCs/>
                <w:sz w:val="23"/>
                <w:szCs w:val="23"/>
              </w:rPr>
              <w:t xml:space="preserve">(bb) </w:t>
            </w:r>
            <w:r>
              <w:rPr>
                <w:sz w:val="23"/>
                <w:szCs w:val="23"/>
              </w:rPr>
              <w:t>for the submission of reports, notices or notifications, except time periods prescribed in respect of reporting documents in terms of the rules under section 8;</w:t>
            </w:r>
          </w:p>
        </w:tc>
        <w:tc>
          <w:tcPr>
            <w:tcW w:w="4146" w:type="dxa"/>
            <w:vAlign w:val="center"/>
          </w:tcPr>
          <w:p w14:paraId="5BA99DEC" w14:textId="71150A6B" w:rsidR="00E26C5F" w:rsidRPr="00C25809" w:rsidRDefault="00E26C5F" w:rsidP="00E26C5F">
            <w:pPr>
              <w:spacing w:line="276" w:lineRule="auto"/>
              <w:jc w:val="both"/>
              <w:rPr>
                <w:rFonts w:cs="Arial"/>
                <w:color w:val="000000" w:themeColor="text1"/>
                <w:szCs w:val="22"/>
              </w:rPr>
            </w:pPr>
          </w:p>
        </w:tc>
        <w:tc>
          <w:tcPr>
            <w:tcW w:w="3533" w:type="dxa"/>
            <w:vAlign w:val="center"/>
          </w:tcPr>
          <w:p w14:paraId="151C4838" w14:textId="77777777" w:rsidR="00E26C5F" w:rsidRPr="00C25809" w:rsidRDefault="00E26C5F" w:rsidP="00E26C5F">
            <w:pPr>
              <w:spacing w:line="276" w:lineRule="auto"/>
              <w:jc w:val="both"/>
              <w:rPr>
                <w:rFonts w:cs="Arial"/>
                <w:color w:val="000000" w:themeColor="text1"/>
                <w:szCs w:val="22"/>
              </w:rPr>
            </w:pPr>
          </w:p>
        </w:tc>
      </w:tr>
      <w:tr w:rsidR="00E26C5F" w:rsidRPr="00C25809" w14:paraId="650AA58A" w14:textId="77777777" w:rsidTr="00E26C5F">
        <w:trPr>
          <w:trHeight w:val="340"/>
        </w:trPr>
        <w:tc>
          <w:tcPr>
            <w:tcW w:w="6429" w:type="dxa"/>
            <w:vAlign w:val="center"/>
          </w:tcPr>
          <w:p w14:paraId="0A99721B" w14:textId="2D499CF5" w:rsidR="00E26C5F" w:rsidRPr="00C25809" w:rsidRDefault="00B5103B" w:rsidP="00E26C5F">
            <w:pPr>
              <w:spacing w:line="276" w:lineRule="auto"/>
              <w:jc w:val="both"/>
              <w:rPr>
                <w:rFonts w:cs="Arial"/>
                <w:color w:val="000000" w:themeColor="text1"/>
                <w:szCs w:val="22"/>
                <w:u w:val="single"/>
              </w:rPr>
            </w:pPr>
            <w:r>
              <w:rPr>
                <w:i/>
                <w:iCs/>
                <w:sz w:val="23"/>
                <w:szCs w:val="23"/>
              </w:rPr>
              <w:t xml:space="preserve">(cc) </w:t>
            </w:r>
            <w:r>
              <w:rPr>
                <w:sz w:val="23"/>
                <w:szCs w:val="23"/>
              </w:rPr>
              <w:t>for the submission and processing of applications for registration or licensing, general refunds and drawbacks of duty, substitution of a bill of entry referred to in subparagraph (ii)</w:t>
            </w:r>
            <w:r>
              <w:rPr>
                <w:i/>
                <w:iCs/>
                <w:sz w:val="23"/>
                <w:szCs w:val="23"/>
              </w:rPr>
              <w:t>(aa)</w:t>
            </w:r>
            <w:r>
              <w:rPr>
                <w:sz w:val="23"/>
                <w:szCs w:val="23"/>
              </w:rPr>
              <w:t xml:space="preserve">, or any other application, except in circumstances </w:t>
            </w:r>
            <w:r>
              <w:rPr>
                <w:sz w:val="23"/>
                <w:szCs w:val="23"/>
              </w:rPr>
              <w:lastRenderedPageBreak/>
              <w:t>where fast tracking of certain applications is</w:t>
            </w:r>
            <w:r>
              <w:rPr>
                <w:sz w:val="23"/>
                <w:szCs w:val="23"/>
              </w:rPr>
              <w:t xml:space="preserve"> </w:t>
            </w:r>
            <w:r>
              <w:rPr>
                <w:sz w:val="23"/>
                <w:szCs w:val="23"/>
              </w:rPr>
              <w:t>required to support efforts to prevent the escalation of the national disaster or to alleviate, contain or minimise the effects thereof;</w:t>
            </w:r>
          </w:p>
        </w:tc>
        <w:tc>
          <w:tcPr>
            <w:tcW w:w="4146" w:type="dxa"/>
            <w:vAlign w:val="center"/>
          </w:tcPr>
          <w:p w14:paraId="3BBB1C06" w14:textId="77777777" w:rsidR="00E26C5F" w:rsidRPr="00C25809" w:rsidRDefault="00E26C5F" w:rsidP="00E26C5F">
            <w:pPr>
              <w:spacing w:line="276" w:lineRule="auto"/>
              <w:jc w:val="both"/>
              <w:rPr>
                <w:rFonts w:cs="Arial"/>
                <w:color w:val="000000" w:themeColor="text1"/>
                <w:szCs w:val="22"/>
              </w:rPr>
            </w:pPr>
          </w:p>
        </w:tc>
        <w:tc>
          <w:tcPr>
            <w:tcW w:w="3533" w:type="dxa"/>
            <w:vAlign w:val="center"/>
          </w:tcPr>
          <w:p w14:paraId="142EDE16" w14:textId="77777777" w:rsidR="00E26C5F" w:rsidRPr="00C25809" w:rsidRDefault="00E26C5F" w:rsidP="00E26C5F">
            <w:pPr>
              <w:spacing w:line="276" w:lineRule="auto"/>
              <w:jc w:val="both"/>
              <w:rPr>
                <w:rFonts w:cs="Arial"/>
                <w:color w:val="000000" w:themeColor="text1"/>
                <w:szCs w:val="22"/>
              </w:rPr>
            </w:pPr>
          </w:p>
        </w:tc>
      </w:tr>
      <w:tr w:rsidR="00E26C5F" w:rsidRPr="00C25809" w14:paraId="1839850A" w14:textId="77777777" w:rsidTr="00E26C5F">
        <w:trPr>
          <w:trHeight w:val="340"/>
        </w:trPr>
        <w:tc>
          <w:tcPr>
            <w:tcW w:w="6429" w:type="dxa"/>
            <w:vAlign w:val="center"/>
          </w:tcPr>
          <w:p w14:paraId="647D9E22" w14:textId="52188906" w:rsidR="00E26C5F" w:rsidRPr="00C25809" w:rsidRDefault="006B27A9" w:rsidP="00E26C5F">
            <w:pPr>
              <w:spacing w:line="276" w:lineRule="auto"/>
              <w:jc w:val="both"/>
              <w:rPr>
                <w:rFonts w:cs="Arial"/>
                <w:color w:val="000000" w:themeColor="text1"/>
                <w:szCs w:val="22"/>
                <w:u w:val="single"/>
              </w:rPr>
            </w:pPr>
            <w:r>
              <w:rPr>
                <w:i/>
                <w:iCs/>
                <w:sz w:val="23"/>
                <w:szCs w:val="23"/>
              </w:rPr>
              <w:t xml:space="preserve">(dd) </w:t>
            </w:r>
            <w:r>
              <w:rPr>
                <w:sz w:val="23"/>
                <w:szCs w:val="23"/>
              </w:rPr>
              <w:t>applicable for purposes of internal administrative appeal procedures, alternative dispute resolution procedures or dispute settlement;</w:t>
            </w:r>
          </w:p>
        </w:tc>
        <w:tc>
          <w:tcPr>
            <w:tcW w:w="4146" w:type="dxa"/>
            <w:vAlign w:val="center"/>
          </w:tcPr>
          <w:p w14:paraId="422879FC" w14:textId="77777777" w:rsidR="00E26C5F" w:rsidRPr="00C25809" w:rsidRDefault="00E26C5F" w:rsidP="00E26C5F">
            <w:pPr>
              <w:spacing w:line="276" w:lineRule="auto"/>
              <w:jc w:val="both"/>
              <w:rPr>
                <w:rFonts w:cs="Arial"/>
                <w:color w:val="000000" w:themeColor="text1"/>
                <w:szCs w:val="22"/>
              </w:rPr>
            </w:pPr>
          </w:p>
        </w:tc>
        <w:tc>
          <w:tcPr>
            <w:tcW w:w="3533" w:type="dxa"/>
            <w:vAlign w:val="center"/>
          </w:tcPr>
          <w:p w14:paraId="25DC8726" w14:textId="77777777" w:rsidR="00E26C5F" w:rsidRPr="00C25809" w:rsidRDefault="00E26C5F" w:rsidP="00E26C5F">
            <w:pPr>
              <w:spacing w:line="276" w:lineRule="auto"/>
              <w:jc w:val="both"/>
              <w:rPr>
                <w:rFonts w:cs="Arial"/>
                <w:color w:val="000000" w:themeColor="text1"/>
                <w:szCs w:val="22"/>
              </w:rPr>
            </w:pPr>
          </w:p>
        </w:tc>
      </w:tr>
      <w:tr w:rsidR="00E26C5F" w:rsidRPr="00C25809" w14:paraId="1C74BA6F" w14:textId="77777777" w:rsidTr="00E26C5F">
        <w:trPr>
          <w:trHeight w:val="340"/>
        </w:trPr>
        <w:tc>
          <w:tcPr>
            <w:tcW w:w="6429" w:type="dxa"/>
            <w:vAlign w:val="center"/>
          </w:tcPr>
          <w:p w14:paraId="71B18801" w14:textId="7F2062C2" w:rsidR="00E26C5F" w:rsidRPr="00C25809" w:rsidRDefault="006B27A9" w:rsidP="00E26C5F">
            <w:pPr>
              <w:spacing w:line="276" w:lineRule="auto"/>
              <w:jc w:val="both"/>
              <w:rPr>
                <w:rFonts w:cs="Arial"/>
                <w:color w:val="000000" w:themeColor="text1"/>
                <w:szCs w:val="22"/>
                <w:u w:val="single"/>
              </w:rPr>
            </w:pPr>
            <w:r>
              <w:rPr>
                <w:i/>
                <w:iCs/>
                <w:sz w:val="23"/>
                <w:szCs w:val="23"/>
              </w:rPr>
              <w:t>(</w:t>
            </w:r>
            <w:proofErr w:type="spellStart"/>
            <w:r>
              <w:rPr>
                <w:i/>
                <w:iCs/>
                <w:sz w:val="23"/>
                <w:szCs w:val="23"/>
              </w:rPr>
              <w:t>ee</w:t>
            </w:r>
            <w:proofErr w:type="spellEnd"/>
            <w:r>
              <w:rPr>
                <w:i/>
                <w:iCs/>
                <w:sz w:val="23"/>
                <w:szCs w:val="23"/>
              </w:rPr>
              <w:t xml:space="preserve">) </w:t>
            </w:r>
            <w:r>
              <w:rPr>
                <w:sz w:val="23"/>
                <w:szCs w:val="23"/>
              </w:rPr>
              <w:t>applicable for purposes of calculating a prescription period in relation to tariff determinations, value determinations or origin determinations, including for purposes of refunds and drawbacks;</w:t>
            </w:r>
          </w:p>
        </w:tc>
        <w:tc>
          <w:tcPr>
            <w:tcW w:w="4146" w:type="dxa"/>
            <w:vAlign w:val="center"/>
          </w:tcPr>
          <w:p w14:paraId="42BB711E" w14:textId="77777777" w:rsidR="00E26C5F" w:rsidRPr="00C25809" w:rsidRDefault="00E26C5F" w:rsidP="00E26C5F">
            <w:pPr>
              <w:spacing w:line="276" w:lineRule="auto"/>
              <w:jc w:val="both"/>
              <w:rPr>
                <w:rFonts w:cs="Arial"/>
                <w:color w:val="000000" w:themeColor="text1"/>
                <w:szCs w:val="22"/>
              </w:rPr>
            </w:pPr>
          </w:p>
        </w:tc>
        <w:tc>
          <w:tcPr>
            <w:tcW w:w="3533" w:type="dxa"/>
            <w:vAlign w:val="center"/>
          </w:tcPr>
          <w:p w14:paraId="2BEF7553" w14:textId="77777777" w:rsidR="00E26C5F" w:rsidRPr="00C25809" w:rsidRDefault="00E26C5F" w:rsidP="00E26C5F">
            <w:pPr>
              <w:spacing w:line="276" w:lineRule="auto"/>
              <w:jc w:val="both"/>
              <w:rPr>
                <w:rFonts w:cs="Arial"/>
                <w:color w:val="000000" w:themeColor="text1"/>
                <w:szCs w:val="22"/>
              </w:rPr>
            </w:pPr>
          </w:p>
        </w:tc>
      </w:tr>
      <w:tr w:rsidR="00E26C5F" w:rsidRPr="00C25809" w14:paraId="74A2C1A3" w14:textId="77777777" w:rsidTr="00E26C5F">
        <w:trPr>
          <w:trHeight w:val="340"/>
        </w:trPr>
        <w:tc>
          <w:tcPr>
            <w:tcW w:w="6429" w:type="dxa"/>
            <w:vAlign w:val="center"/>
          </w:tcPr>
          <w:p w14:paraId="485F9164" w14:textId="14655C5E" w:rsidR="00E26C5F" w:rsidRPr="00C25809" w:rsidRDefault="006B27A9" w:rsidP="00E26C5F">
            <w:pPr>
              <w:spacing w:line="276" w:lineRule="auto"/>
              <w:jc w:val="both"/>
              <w:rPr>
                <w:rFonts w:cs="Arial"/>
                <w:color w:val="000000" w:themeColor="text1"/>
                <w:szCs w:val="22"/>
                <w:u w:val="single"/>
              </w:rPr>
            </w:pPr>
            <w:r>
              <w:rPr>
                <w:i/>
                <w:iCs/>
                <w:sz w:val="23"/>
                <w:szCs w:val="23"/>
              </w:rPr>
              <w:t xml:space="preserve">(ff) </w:t>
            </w:r>
            <w:r>
              <w:rPr>
                <w:sz w:val="23"/>
                <w:szCs w:val="23"/>
              </w:rPr>
              <w:t>applicable for purposes of an appeal to the High Court in cases relating to tariff determinations, value determinations or origin determinations; and</w:t>
            </w:r>
          </w:p>
        </w:tc>
        <w:tc>
          <w:tcPr>
            <w:tcW w:w="4146" w:type="dxa"/>
            <w:vAlign w:val="center"/>
          </w:tcPr>
          <w:p w14:paraId="155987F7" w14:textId="77777777" w:rsidR="00E26C5F" w:rsidRPr="00C25809" w:rsidRDefault="00E26C5F" w:rsidP="00E26C5F">
            <w:pPr>
              <w:spacing w:line="276" w:lineRule="auto"/>
              <w:jc w:val="both"/>
              <w:rPr>
                <w:rFonts w:cs="Arial"/>
                <w:color w:val="000000" w:themeColor="text1"/>
                <w:szCs w:val="22"/>
              </w:rPr>
            </w:pPr>
          </w:p>
        </w:tc>
        <w:tc>
          <w:tcPr>
            <w:tcW w:w="3533" w:type="dxa"/>
            <w:vAlign w:val="center"/>
          </w:tcPr>
          <w:p w14:paraId="26C1D205" w14:textId="77777777" w:rsidR="00E26C5F" w:rsidRPr="00C25809" w:rsidRDefault="00E26C5F" w:rsidP="00E26C5F">
            <w:pPr>
              <w:spacing w:line="276" w:lineRule="auto"/>
              <w:jc w:val="both"/>
              <w:rPr>
                <w:rFonts w:cs="Arial"/>
                <w:color w:val="000000" w:themeColor="text1"/>
                <w:szCs w:val="22"/>
              </w:rPr>
            </w:pPr>
          </w:p>
        </w:tc>
      </w:tr>
      <w:tr w:rsidR="00E26C5F" w:rsidRPr="00C25809" w14:paraId="2AAAD155" w14:textId="77777777" w:rsidTr="00E26C5F">
        <w:trPr>
          <w:trHeight w:val="340"/>
        </w:trPr>
        <w:tc>
          <w:tcPr>
            <w:tcW w:w="6429" w:type="dxa"/>
            <w:vAlign w:val="center"/>
          </w:tcPr>
          <w:p w14:paraId="22EB706B" w14:textId="3BC51C1D" w:rsidR="00E26C5F" w:rsidRPr="00C25809" w:rsidRDefault="006B27A9" w:rsidP="00E26C5F">
            <w:pPr>
              <w:spacing w:line="276" w:lineRule="auto"/>
              <w:jc w:val="both"/>
              <w:rPr>
                <w:rFonts w:cs="Arial"/>
                <w:i/>
                <w:iCs/>
                <w:color w:val="000000" w:themeColor="text1"/>
                <w:szCs w:val="22"/>
                <w:u w:val="single"/>
              </w:rPr>
            </w:pPr>
            <w:r>
              <w:rPr>
                <w:i/>
                <w:iCs/>
                <w:sz w:val="23"/>
                <w:szCs w:val="23"/>
              </w:rPr>
              <w:t xml:space="preserve">(gg) </w:t>
            </w:r>
            <w:r>
              <w:rPr>
                <w:sz w:val="23"/>
                <w:szCs w:val="23"/>
              </w:rPr>
              <w:t>applicable in relation to any notification to SARS before serving process and the institution of proceedings against SARS, including in respect of proceedings by an owner to claim any goods seized under the Act; and</w:t>
            </w:r>
          </w:p>
        </w:tc>
        <w:tc>
          <w:tcPr>
            <w:tcW w:w="4146" w:type="dxa"/>
            <w:vAlign w:val="center"/>
          </w:tcPr>
          <w:p w14:paraId="3D44896B" w14:textId="77777777" w:rsidR="00E26C5F" w:rsidRPr="00C25809" w:rsidRDefault="00E26C5F" w:rsidP="00E26C5F">
            <w:pPr>
              <w:spacing w:line="276" w:lineRule="auto"/>
              <w:jc w:val="both"/>
              <w:rPr>
                <w:rFonts w:cs="Arial"/>
                <w:color w:val="000000" w:themeColor="text1"/>
                <w:szCs w:val="22"/>
              </w:rPr>
            </w:pPr>
          </w:p>
        </w:tc>
        <w:tc>
          <w:tcPr>
            <w:tcW w:w="3533" w:type="dxa"/>
            <w:vAlign w:val="center"/>
          </w:tcPr>
          <w:p w14:paraId="0958B1D4" w14:textId="77777777" w:rsidR="00E26C5F" w:rsidRPr="00C25809" w:rsidRDefault="00E26C5F" w:rsidP="00E26C5F">
            <w:pPr>
              <w:spacing w:line="276" w:lineRule="auto"/>
              <w:jc w:val="both"/>
              <w:rPr>
                <w:rFonts w:cs="Arial"/>
                <w:color w:val="000000" w:themeColor="text1"/>
                <w:szCs w:val="22"/>
              </w:rPr>
            </w:pPr>
          </w:p>
        </w:tc>
      </w:tr>
      <w:tr w:rsidR="00E26C5F" w:rsidRPr="00C25809" w14:paraId="013D08BE" w14:textId="77777777" w:rsidTr="00E26C5F">
        <w:trPr>
          <w:trHeight w:val="340"/>
        </w:trPr>
        <w:tc>
          <w:tcPr>
            <w:tcW w:w="6429" w:type="dxa"/>
            <w:vAlign w:val="center"/>
          </w:tcPr>
          <w:p w14:paraId="762D7002" w14:textId="666E92F8" w:rsidR="00E26C5F" w:rsidRPr="006B27A9" w:rsidRDefault="006B27A9" w:rsidP="006B27A9">
            <w:pPr>
              <w:pStyle w:val="Default"/>
              <w:rPr>
                <w:sz w:val="23"/>
                <w:szCs w:val="23"/>
              </w:rPr>
            </w:pPr>
            <w:r>
              <w:rPr>
                <w:sz w:val="23"/>
                <w:szCs w:val="23"/>
              </w:rPr>
              <w:t xml:space="preserve">(ii) will not be regarded to be </w:t>
            </w:r>
            <w:r>
              <w:rPr>
                <w:i/>
                <w:iCs/>
                <w:sz w:val="23"/>
                <w:szCs w:val="23"/>
              </w:rPr>
              <w:t xml:space="preserve">dies non </w:t>
            </w:r>
            <w:r>
              <w:rPr>
                <w:sz w:val="23"/>
                <w:szCs w:val="23"/>
              </w:rPr>
              <w:t xml:space="preserve">in respect of the period for— </w:t>
            </w:r>
          </w:p>
        </w:tc>
        <w:tc>
          <w:tcPr>
            <w:tcW w:w="4146" w:type="dxa"/>
            <w:vAlign w:val="center"/>
          </w:tcPr>
          <w:p w14:paraId="482EFD87" w14:textId="77777777" w:rsidR="00E26C5F" w:rsidRPr="00C25809" w:rsidRDefault="00E26C5F" w:rsidP="00E26C5F">
            <w:pPr>
              <w:spacing w:line="276" w:lineRule="auto"/>
              <w:jc w:val="both"/>
              <w:rPr>
                <w:rFonts w:cs="Arial"/>
                <w:color w:val="000000" w:themeColor="text1"/>
                <w:szCs w:val="22"/>
              </w:rPr>
            </w:pPr>
          </w:p>
        </w:tc>
        <w:tc>
          <w:tcPr>
            <w:tcW w:w="3533" w:type="dxa"/>
            <w:vAlign w:val="center"/>
          </w:tcPr>
          <w:p w14:paraId="4DC1072C" w14:textId="77777777" w:rsidR="00E26C5F" w:rsidRPr="00C25809" w:rsidRDefault="00E26C5F" w:rsidP="00E26C5F">
            <w:pPr>
              <w:spacing w:line="276" w:lineRule="auto"/>
              <w:jc w:val="both"/>
              <w:rPr>
                <w:rFonts w:cs="Arial"/>
                <w:color w:val="000000" w:themeColor="text1"/>
                <w:szCs w:val="22"/>
              </w:rPr>
            </w:pPr>
          </w:p>
        </w:tc>
      </w:tr>
      <w:tr w:rsidR="00E26C5F" w:rsidRPr="00C25809" w14:paraId="0814604D" w14:textId="77777777" w:rsidTr="00E26C5F">
        <w:trPr>
          <w:trHeight w:val="340"/>
        </w:trPr>
        <w:tc>
          <w:tcPr>
            <w:tcW w:w="6429" w:type="dxa"/>
            <w:vAlign w:val="center"/>
          </w:tcPr>
          <w:p w14:paraId="2C613CA0" w14:textId="1EA5AF58" w:rsidR="00E26C5F" w:rsidRPr="00C25809" w:rsidRDefault="006B27A9" w:rsidP="00E26C5F">
            <w:pPr>
              <w:spacing w:line="276" w:lineRule="auto"/>
              <w:jc w:val="both"/>
              <w:rPr>
                <w:rFonts w:cs="Arial"/>
                <w:i/>
                <w:iCs/>
                <w:color w:val="000000" w:themeColor="text1"/>
                <w:szCs w:val="22"/>
                <w:u w:val="single"/>
              </w:rPr>
            </w:pPr>
            <w:r>
              <w:rPr>
                <w:i/>
                <w:iCs/>
                <w:sz w:val="23"/>
                <w:szCs w:val="23"/>
              </w:rPr>
              <w:t xml:space="preserve">(aa) </w:t>
            </w:r>
            <w:r>
              <w:rPr>
                <w:sz w:val="23"/>
                <w:szCs w:val="23"/>
              </w:rPr>
              <w:t>submission of a bill of entry as defined in section 1;</w:t>
            </w:r>
          </w:p>
        </w:tc>
        <w:tc>
          <w:tcPr>
            <w:tcW w:w="4146" w:type="dxa"/>
            <w:vAlign w:val="center"/>
          </w:tcPr>
          <w:p w14:paraId="295F8A63" w14:textId="77777777" w:rsidR="00E26C5F" w:rsidRPr="00C25809" w:rsidRDefault="00E26C5F" w:rsidP="00E26C5F">
            <w:pPr>
              <w:spacing w:line="276" w:lineRule="auto"/>
              <w:jc w:val="both"/>
              <w:rPr>
                <w:rFonts w:cs="Arial"/>
                <w:color w:val="000000" w:themeColor="text1"/>
                <w:szCs w:val="22"/>
              </w:rPr>
            </w:pPr>
          </w:p>
        </w:tc>
        <w:tc>
          <w:tcPr>
            <w:tcW w:w="3533" w:type="dxa"/>
            <w:vAlign w:val="center"/>
          </w:tcPr>
          <w:p w14:paraId="514CBDA6" w14:textId="77777777" w:rsidR="00E26C5F" w:rsidRPr="00C25809" w:rsidRDefault="00E26C5F" w:rsidP="00E26C5F">
            <w:pPr>
              <w:spacing w:line="276" w:lineRule="auto"/>
              <w:jc w:val="both"/>
              <w:rPr>
                <w:rFonts w:cs="Arial"/>
                <w:color w:val="000000" w:themeColor="text1"/>
                <w:szCs w:val="22"/>
              </w:rPr>
            </w:pPr>
          </w:p>
        </w:tc>
      </w:tr>
      <w:tr w:rsidR="00E26C5F" w:rsidRPr="00C25809" w14:paraId="4F404D84" w14:textId="77777777" w:rsidTr="00E26C5F">
        <w:trPr>
          <w:trHeight w:val="340"/>
        </w:trPr>
        <w:tc>
          <w:tcPr>
            <w:tcW w:w="6429" w:type="dxa"/>
            <w:vAlign w:val="center"/>
          </w:tcPr>
          <w:p w14:paraId="45210087" w14:textId="3AECC6F7" w:rsidR="00E26C5F" w:rsidRPr="00C25809" w:rsidRDefault="00EB4863" w:rsidP="00E26C5F">
            <w:pPr>
              <w:spacing w:line="276" w:lineRule="auto"/>
              <w:jc w:val="both"/>
              <w:rPr>
                <w:rFonts w:cs="Arial"/>
                <w:color w:val="000000" w:themeColor="text1"/>
                <w:szCs w:val="22"/>
              </w:rPr>
            </w:pPr>
            <w:r>
              <w:rPr>
                <w:i/>
                <w:iCs/>
                <w:sz w:val="23"/>
                <w:szCs w:val="23"/>
              </w:rPr>
              <w:lastRenderedPageBreak/>
              <w:t xml:space="preserve">(bb) </w:t>
            </w:r>
            <w:r>
              <w:rPr>
                <w:sz w:val="23"/>
                <w:szCs w:val="23"/>
              </w:rPr>
              <w:t>submission of an account or return as may be prescribed for excise duties, fuel levy, environmental levies, health promotion levy and air passenger tax;</w:t>
            </w:r>
          </w:p>
        </w:tc>
        <w:tc>
          <w:tcPr>
            <w:tcW w:w="4146" w:type="dxa"/>
            <w:vAlign w:val="center"/>
          </w:tcPr>
          <w:p w14:paraId="1E1E0A78" w14:textId="77777777" w:rsidR="00E26C5F" w:rsidRPr="00C25809" w:rsidRDefault="00E26C5F" w:rsidP="00E26C5F">
            <w:pPr>
              <w:spacing w:line="276" w:lineRule="auto"/>
              <w:jc w:val="both"/>
              <w:rPr>
                <w:rFonts w:cs="Arial"/>
                <w:color w:val="000000" w:themeColor="text1"/>
                <w:szCs w:val="22"/>
              </w:rPr>
            </w:pPr>
          </w:p>
        </w:tc>
        <w:tc>
          <w:tcPr>
            <w:tcW w:w="3533" w:type="dxa"/>
            <w:vAlign w:val="center"/>
          </w:tcPr>
          <w:p w14:paraId="018465C1" w14:textId="77777777" w:rsidR="00E26C5F" w:rsidRPr="00C25809" w:rsidRDefault="00E26C5F" w:rsidP="00E26C5F">
            <w:pPr>
              <w:spacing w:line="276" w:lineRule="auto"/>
              <w:jc w:val="both"/>
              <w:rPr>
                <w:rFonts w:cs="Arial"/>
                <w:color w:val="000000" w:themeColor="text1"/>
                <w:szCs w:val="22"/>
              </w:rPr>
            </w:pPr>
          </w:p>
        </w:tc>
      </w:tr>
      <w:tr w:rsidR="00EB4863" w:rsidRPr="00C25809" w14:paraId="4C1317B6" w14:textId="77777777" w:rsidTr="00E26C5F">
        <w:trPr>
          <w:trHeight w:val="340"/>
        </w:trPr>
        <w:tc>
          <w:tcPr>
            <w:tcW w:w="6429" w:type="dxa"/>
            <w:vAlign w:val="center"/>
          </w:tcPr>
          <w:p w14:paraId="13A6919E" w14:textId="0F7CE2A8" w:rsidR="00EB4863" w:rsidRDefault="00EB4863" w:rsidP="00E26C5F">
            <w:pPr>
              <w:spacing w:line="276" w:lineRule="auto"/>
              <w:jc w:val="both"/>
              <w:rPr>
                <w:i/>
                <w:iCs/>
                <w:sz w:val="23"/>
                <w:szCs w:val="23"/>
              </w:rPr>
            </w:pPr>
            <w:r>
              <w:rPr>
                <w:i/>
                <w:iCs/>
                <w:sz w:val="23"/>
                <w:szCs w:val="23"/>
              </w:rPr>
              <w:t xml:space="preserve">(cc) </w:t>
            </w:r>
            <w:r>
              <w:rPr>
                <w:sz w:val="23"/>
                <w:szCs w:val="23"/>
              </w:rPr>
              <w:t xml:space="preserve">submission of supporting documents or proof required for purposes of a bill of entry referred to in item </w:t>
            </w:r>
            <w:r>
              <w:rPr>
                <w:i/>
                <w:iCs/>
                <w:sz w:val="23"/>
                <w:szCs w:val="23"/>
              </w:rPr>
              <w:t xml:space="preserve">(aa) </w:t>
            </w:r>
            <w:r>
              <w:rPr>
                <w:sz w:val="23"/>
                <w:szCs w:val="23"/>
              </w:rPr>
              <w:t xml:space="preserve">or an account or return referred to in item </w:t>
            </w:r>
            <w:r>
              <w:rPr>
                <w:i/>
                <w:iCs/>
                <w:sz w:val="23"/>
                <w:szCs w:val="23"/>
              </w:rPr>
              <w:t>(bb)</w:t>
            </w:r>
            <w:r>
              <w:rPr>
                <w:sz w:val="23"/>
                <w:szCs w:val="23"/>
              </w:rPr>
              <w:t>; and</w:t>
            </w:r>
          </w:p>
        </w:tc>
        <w:tc>
          <w:tcPr>
            <w:tcW w:w="4146" w:type="dxa"/>
            <w:vAlign w:val="center"/>
          </w:tcPr>
          <w:p w14:paraId="782D0F5F" w14:textId="77777777" w:rsidR="00EB4863" w:rsidRPr="00C25809" w:rsidRDefault="00EB4863" w:rsidP="00E26C5F">
            <w:pPr>
              <w:spacing w:line="276" w:lineRule="auto"/>
              <w:jc w:val="both"/>
              <w:rPr>
                <w:rFonts w:cs="Arial"/>
                <w:color w:val="000000" w:themeColor="text1"/>
                <w:szCs w:val="22"/>
              </w:rPr>
            </w:pPr>
          </w:p>
        </w:tc>
        <w:tc>
          <w:tcPr>
            <w:tcW w:w="3533" w:type="dxa"/>
            <w:vAlign w:val="center"/>
          </w:tcPr>
          <w:p w14:paraId="73B39975" w14:textId="77777777" w:rsidR="00EB4863" w:rsidRPr="00C25809" w:rsidRDefault="00EB4863" w:rsidP="00E26C5F">
            <w:pPr>
              <w:spacing w:line="276" w:lineRule="auto"/>
              <w:jc w:val="both"/>
              <w:rPr>
                <w:rFonts w:cs="Arial"/>
                <w:color w:val="000000" w:themeColor="text1"/>
                <w:szCs w:val="22"/>
              </w:rPr>
            </w:pPr>
          </w:p>
        </w:tc>
      </w:tr>
      <w:tr w:rsidR="00EB4863" w:rsidRPr="00C25809" w14:paraId="670C6539" w14:textId="77777777" w:rsidTr="00E26C5F">
        <w:trPr>
          <w:trHeight w:val="340"/>
        </w:trPr>
        <w:tc>
          <w:tcPr>
            <w:tcW w:w="6429" w:type="dxa"/>
            <w:vAlign w:val="center"/>
          </w:tcPr>
          <w:p w14:paraId="138184DA" w14:textId="14E8A7C5" w:rsidR="00EB4863" w:rsidRDefault="00EB4863" w:rsidP="00E26C5F">
            <w:pPr>
              <w:spacing w:line="276" w:lineRule="auto"/>
              <w:jc w:val="both"/>
              <w:rPr>
                <w:i/>
                <w:iCs/>
                <w:sz w:val="23"/>
                <w:szCs w:val="23"/>
              </w:rPr>
            </w:pPr>
            <w:r>
              <w:rPr>
                <w:i/>
                <w:iCs/>
                <w:sz w:val="23"/>
                <w:szCs w:val="23"/>
              </w:rPr>
              <w:t xml:space="preserve">(dd) </w:t>
            </w:r>
            <w:r>
              <w:rPr>
                <w:sz w:val="23"/>
                <w:szCs w:val="23"/>
              </w:rPr>
              <w:t>for payment of duties due and payable.</w:t>
            </w:r>
          </w:p>
        </w:tc>
        <w:tc>
          <w:tcPr>
            <w:tcW w:w="4146" w:type="dxa"/>
            <w:vAlign w:val="center"/>
          </w:tcPr>
          <w:p w14:paraId="6AD2499A" w14:textId="77777777" w:rsidR="00EB4863" w:rsidRPr="00C25809" w:rsidRDefault="00EB4863" w:rsidP="00E26C5F">
            <w:pPr>
              <w:spacing w:line="276" w:lineRule="auto"/>
              <w:jc w:val="both"/>
              <w:rPr>
                <w:rFonts w:cs="Arial"/>
                <w:color w:val="000000" w:themeColor="text1"/>
                <w:szCs w:val="22"/>
              </w:rPr>
            </w:pPr>
          </w:p>
        </w:tc>
        <w:tc>
          <w:tcPr>
            <w:tcW w:w="3533" w:type="dxa"/>
            <w:vAlign w:val="center"/>
          </w:tcPr>
          <w:p w14:paraId="205E91CF" w14:textId="77777777" w:rsidR="00EB4863" w:rsidRPr="00C25809" w:rsidRDefault="00EB4863" w:rsidP="00E26C5F">
            <w:pPr>
              <w:spacing w:line="276" w:lineRule="auto"/>
              <w:jc w:val="both"/>
              <w:rPr>
                <w:rFonts w:cs="Arial"/>
                <w:color w:val="000000" w:themeColor="text1"/>
                <w:szCs w:val="22"/>
              </w:rPr>
            </w:pPr>
          </w:p>
        </w:tc>
      </w:tr>
      <w:tr w:rsidR="00EB4863" w:rsidRPr="00C25809" w14:paraId="2F2B992A" w14:textId="77777777" w:rsidTr="00E26C5F">
        <w:trPr>
          <w:trHeight w:val="340"/>
        </w:trPr>
        <w:tc>
          <w:tcPr>
            <w:tcW w:w="6429" w:type="dxa"/>
            <w:vAlign w:val="center"/>
          </w:tcPr>
          <w:p w14:paraId="0DEC6338" w14:textId="5A92313C" w:rsidR="00EB4863" w:rsidRPr="00D7177C" w:rsidRDefault="00D7177C" w:rsidP="0079711A">
            <w:pPr>
              <w:pStyle w:val="Default"/>
              <w:numPr>
                <w:ilvl w:val="0"/>
                <w:numId w:val="23"/>
              </w:numPr>
              <w:rPr>
                <w:sz w:val="23"/>
                <w:szCs w:val="23"/>
              </w:rPr>
            </w:pPr>
            <w:r>
              <w:rPr>
                <w:i/>
                <w:iCs/>
                <w:sz w:val="23"/>
                <w:szCs w:val="23"/>
              </w:rPr>
              <w:t xml:space="preserve">(b) </w:t>
            </w:r>
            <w:r>
              <w:rPr>
                <w:sz w:val="23"/>
                <w:szCs w:val="23"/>
              </w:rPr>
              <w:t xml:space="preserve">The Commissioner may, subject to paragraph </w:t>
            </w:r>
            <w:r>
              <w:rPr>
                <w:i/>
                <w:iCs/>
                <w:sz w:val="23"/>
                <w:szCs w:val="23"/>
              </w:rPr>
              <w:t>(c)</w:t>
            </w:r>
            <w:r>
              <w:rPr>
                <w:sz w:val="23"/>
                <w:szCs w:val="23"/>
              </w:rPr>
              <w:t xml:space="preserve">, on application condone any non-compliance with a time period not mentioned in paragraph </w:t>
            </w:r>
            <w:r>
              <w:rPr>
                <w:i/>
                <w:iCs/>
                <w:sz w:val="23"/>
                <w:szCs w:val="23"/>
              </w:rPr>
              <w:t>(a)</w:t>
            </w:r>
            <w:r>
              <w:rPr>
                <w:sz w:val="23"/>
                <w:szCs w:val="23"/>
              </w:rPr>
              <w:t>(</w:t>
            </w:r>
            <w:proofErr w:type="spellStart"/>
            <w:r>
              <w:rPr>
                <w:sz w:val="23"/>
                <w:szCs w:val="23"/>
              </w:rPr>
              <w:t>i</w:t>
            </w:r>
            <w:proofErr w:type="spellEnd"/>
            <w:r>
              <w:rPr>
                <w:sz w:val="23"/>
                <w:szCs w:val="23"/>
              </w:rPr>
              <w:t xml:space="preserve">) that occurred after the start of the national lockdown, if it is shown that the national lockdown or any circumstance arising therefrom was the fundamental reason for the non-compliance. </w:t>
            </w:r>
          </w:p>
        </w:tc>
        <w:tc>
          <w:tcPr>
            <w:tcW w:w="4146" w:type="dxa"/>
            <w:vAlign w:val="center"/>
          </w:tcPr>
          <w:p w14:paraId="40A711F7" w14:textId="77777777" w:rsidR="00EB4863" w:rsidRPr="00C25809" w:rsidRDefault="00EB4863" w:rsidP="00E26C5F">
            <w:pPr>
              <w:spacing w:line="276" w:lineRule="auto"/>
              <w:jc w:val="both"/>
              <w:rPr>
                <w:rFonts w:cs="Arial"/>
                <w:color w:val="000000" w:themeColor="text1"/>
                <w:szCs w:val="22"/>
              </w:rPr>
            </w:pPr>
          </w:p>
        </w:tc>
        <w:tc>
          <w:tcPr>
            <w:tcW w:w="3533" w:type="dxa"/>
            <w:vAlign w:val="center"/>
          </w:tcPr>
          <w:p w14:paraId="64691A87" w14:textId="77777777" w:rsidR="00EB4863" w:rsidRPr="00C25809" w:rsidRDefault="00EB4863" w:rsidP="00E26C5F">
            <w:pPr>
              <w:spacing w:line="276" w:lineRule="auto"/>
              <w:jc w:val="both"/>
              <w:rPr>
                <w:rFonts w:cs="Arial"/>
                <w:color w:val="000000" w:themeColor="text1"/>
                <w:szCs w:val="22"/>
              </w:rPr>
            </w:pPr>
          </w:p>
        </w:tc>
      </w:tr>
      <w:tr w:rsidR="00EB4863" w:rsidRPr="00C25809" w14:paraId="74AFA13D" w14:textId="77777777" w:rsidTr="00E26C5F">
        <w:trPr>
          <w:trHeight w:val="340"/>
        </w:trPr>
        <w:tc>
          <w:tcPr>
            <w:tcW w:w="6429" w:type="dxa"/>
            <w:vAlign w:val="center"/>
          </w:tcPr>
          <w:p w14:paraId="369FBE38" w14:textId="6114F141" w:rsidR="00EB4863" w:rsidRPr="00D7177C" w:rsidRDefault="00D7177C" w:rsidP="0079711A">
            <w:pPr>
              <w:pStyle w:val="Default"/>
              <w:numPr>
                <w:ilvl w:val="0"/>
                <w:numId w:val="24"/>
              </w:numPr>
              <w:rPr>
                <w:sz w:val="23"/>
                <w:szCs w:val="23"/>
              </w:rPr>
            </w:pPr>
            <w:r>
              <w:rPr>
                <w:i/>
                <w:iCs/>
                <w:sz w:val="23"/>
                <w:szCs w:val="23"/>
              </w:rPr>
              <w:t xml:space="preserve">(c) </w:t>
            </w:r>
            <w:r>
              <w:rPr>
                <w:sz w:val="23"/>
                <w:szCs w:val="23"/>
              </w:rPr>
              <w:t xml:space="preserve">Paragraph </w:t>
            </w:r>
            <w:r>
              <w:rPr>
                <w:i/>
                <w:iCs/>
                <w:sz w:val="23"/>
                <w:szCs w:val="23"/>
              </w:rPr>
              <w:t xml:space="preserve">(b) </w:t>
            </w:r>
            <w:r>
              <w:rPr>
                <w:sz w:val="23"/>
                <w:szCs w:val="23"/>
              </w:rPr>
              <w:t xml:space="preserve">does not apply— </w:t>
            </w:r>
          </w:p>
        </w:tc>
        <w:tc>
          <w:tcPr>
            <w:tcW w:w="4146" w:type="dxa"/>
            <w:vAlign w:val="center"/>
          </w:tcPr>
          <w:p w14:paraId="29513BA5" w14:textId="77777777" w:rsidR="00EB4863" w:rsidRPr="00C25809" w:rsidRDefault="00EB4863" w:rsidP="00E26C5F">
            <w:pPr>
              <w:spacing w:line="276" w:lineRule="auto"/>
              <w:jc w:val="both"/>
              <w:rPr>
                <w:rFonts w:cs="Arial"/>
                <w:color w:val="000000" w:themeColor="text1"/>
                <w:szCs w:val="22"/>
              </w:rPr>
            </w:pPr>
          </w:p>
        </w:tc>
        <w:tc>
          <w:tcPr>
            <w:tcW w:w="3533" w:type="dxa"/>
            <w:vAlign w:val="center"/>
          </w:tcPr>
          <w:p w14:paraId="2C69DF7E" w14:textId="77777777" w:rsidR="00EB4863" w:rsidRPr="00C25809" w:rsidRDefault="00EB4863" w:rsidP="00E26C5F">
            <w:pPr>
              <w:spacing w:line="276" w:lineRule="auto"/>
              <w:jc w:val="both"/>
              <w:rPr>
                <w:rFonts w:cs="Arial"/>
                <w:color w:val="000000" w:themeColor="text1"/>
                <w:szCs w:val="22"/>
              </w:rPr>
            </w:pPr>
          </w:p>
        </w:tc>
      </w:tr>
      <w:tr w:rsidR="00EB4863" w:rsidRPr="00C25809" w14:paraId="29E32303" w14:textId="77777777" w:rsidTr="00E26C5F">
        <w:trPr>
          <w:trHeight w:val="340"/>
        </w:trPr>
        <w:tc>
          <w:tcPr>
            <w:tcW w:w="6429" w:type="dxa"/>
            <w:vAlign w:val="center"/>
          </w:tcPr>
          <w:p w14:paraId="10C99168" w14:textId="52F7CBDF" w:rsidR="00EB4863" w:rsidRPr="006605FE" w:rsidRDefault="006605FE" w:rsidP="0079711A">
            <w:pPr>
              <w:pStyle w:val="Default"/>
              <w:numPr>
                <w:ilvl w:val="0"/>
                <w:numId w:val="25"/>
              </w:numPr>
              <w:rPr>
                <w:sz w:val="23"/>
                <w:szCs w:val="23"/>
              </w:rPr>
            </w:pPr>
            <w:r>
              <w:rPr>
                <w:sz w:val="23"/>
                <w:szCs w:val="23"/>
              </w:rPr>
              <w:t>(</w:t>
            </w:r>
            <w:proofErr w:type="spellStart"/>
            <w:r>
              <w:rPr>
                <w:sz w:val="23"/>
                <w:szCs w:val="23"/>
              </w:rPr>
              <w:t>i</w:t>
            </w:r>
            <w:proofErr w:type="spellEnd"/>
            <w:r>
              <w:rPr>
                <w:sz w:val="23"/>
                <w:szCs w:val="23"/>
              </w:rPr>
              <w:t xml:space="preserve">) if the non-compliance involves a time period excluded in terms of paragraph </w:t>
            </w:r>
            <w:r>
              <w:rPr>
                <w:i/>
                <w:iCs/>
                <w:sz w:val="23"/>
                <w:szCs w:val="23"/>
              </w:rPr>
              <w:t>(a)</w:t>
            </w:r>
            <w:r>
              <w:rPr>
                <w:sz w:val="23"/>
                <w:szCs w:val="23"/>
              </w:rPr>
              <w:t xml:space="preserve">(ii); o </w:t>
            </w:r>
          </w:p>
        </w:tc>
        <w:tc>
          <w:tcPr>
            <w:tcW w:w="4146" w:type="dxa"/>
            <w:vAlign w:val="center"/>
          </w:tcPr>
          <w:p w14:paraId="1FDBFA28" w14:textId="77777777" w:rsidR="00EB4863" w:rsidRPr="00C25809" w:rsidRDefault="00EB4863" w:rsidP="00E26C5F">
            <w:pPr>
              <w:spacing w:line="276" w:lineRule="auto"/>
              <w:jc w:val="both"/>
              <w:rPr>
                <w:rFonts w:cs="Arial"/>
                <w:color w:val="000000" w:themeColor="text1"/>
                <w:szCs w:val="22"/>
              </w:rPr>
            </w:pPr>
          </w:p>
        </w:tc>
        <w:tc>
          <w:tcPr>
            <w:tcW w:w="3533" w:type="dxa"/>
            <w:vAlign w:val="center"/>
          </w:tcPr>
          <w:p w14:paraId="55188CEC" w14:textId="77777777" w:rsidR="00EB4863" w:rsidRPr="00C25809" w:rsidRDefault="00EB4863" w:rsidP="00E26C5F">
            <w:pPr>
              <w:spacing w:line="276" w:lineRule="auto"/>
              <w:jc w:val="both"/>
              <w:rPr>
                <w:rFonts w:cs="Arial"/>
                <w:color w:val="000000" w:themeColor="text1"/>
                <w:szCs w:val="22"/>
              </w:rPr>
            </w:pPr>
          </w:p>
        </w:tc>
      </w:tr>
      <w:tr w:rsidR="00D7177C" w:rsidRPr="00C25809" w14:paraId="133ABCBD" w14:textId="77777777" w:rsidTr="00E26C5F">
        <w:trPr>
          <w:trHeight w:val="340"/>
        </w:trPr>
        <w:tc>
          <w:tcPr>
            <w:tcW w:w="6429" w:type="dxa"/>
            <w:vAlign w:val="center"/>
          </w:tcPr>
          <w:p w14:paraId="4C3756D0" w14:textId="62381864" w:rsidR="00D7177C" w:rsidRPr="006605FE" w:rsidRDefault="006605FE" w:rsidP="0079711A">
            <w:pPr>
              <w:pStyle w:val="Default"/>
              <w:numPr>
                <w:ilvl w:val="0"/>
                <w:numId w:val="26"/>
              </w:numPr>
              <w:rPr>
                <w:sz w:val="23"/>
                <w:szCs w:val="23"/>
              </w:rPr>
            </w:pPr>
            <w:r>
              <w:rPr>
                <w:sz w:val="23"/>
                <w:szCs w:val="23"/>
              </w:rPr>
              <w:t xml:space="preserve">(ii) if the provision prescribing the time period affords the Commissioner a discretion to permit or authorise an extension of that time period, in which circumstances permission or authorisation must be obtained in accordance with that provision. </w:t>
            </w:r>
          </w:p>
        </w:tc>
        <w:tc>
          <w:tcPr>
            <w:tcW w:w="4146" w:type="dxa"/>
            <w:vAlign w:val="center"/>
          </w:tcPr>
          <w:p w14:paraId="020A4C52" w14:textId="77777777" w:rsidR="00D7177C" w:rsidRPr="00C25809" w:rsidRDefault="00D7177C" w:rsidP="00E26C5F">
            <w:pPr>
              <w:spacing w:line="276" w:lineRule="auto"/>
              <w:jc w:val="both"/>
              <w:rPr>
                <w:rFonts w:cs="Arial"/>
                <w:color w:val="000000" w:themeColor="text1"/>
                <w:szCs w:val="22"/>
              </w:rPr>
            </w:pPr>
          </w:p>
        </w:tc>
        <w:tc>
          <w:tcPr>
            <w:tcW w:w="3533" w:type="dxa"/>
            <w:vAlign w:val="center"/>
          </w:tcPr>
          <w:p w14:paraId="601EA8B3" w14:textId="77777777" w:rsidR="00D7177C" w:rsidRPr="00C25809" w:rsidRDefault="00D7177C" w:rsidP="00E26C5F">
            <w:pPr>
              <w:spacing w:line="276" w:lineRule="auto"/>
              <w:jc w:val="both"/>
              <w:rPr>
                <w:rFonts w:cs="Arial"/>
                <w:color w:val="000000" w:themeColor="text1"/>
                <w:szCs w:val="22"/>
              </w:rPr>
            </w:pPr>
          </w:p>
        </w:tc>
      </w:tr>
      <w:tr w:rsidR="00D7177C" w:rsidRPr="00C25809" w14:paraId="7943CDEE" w14:textId="77777777" w:rsidTr="00E26C5F">
        <w:trPr>
          <w:trHeight w:val="340"/>
        </w:trPr>
        <w:tc>
          <w:tcPr>
            <w:tcW w:w="6429" w:type="dxa"/>
            <w:vAlign w:val="center"/>
          </w:tcPr>
          <w:p w14:paraId="4F6763BE" w14:textId="188CC9AF" w:rsidR="00D7177C" w:rsidRDefault="006605FE" w:rsidP="00E26C5F">
            <w:pPr>
              <w:spacing w:line="276" w:lineRule="auto"/>
              <w:jc w:val="both"/>
              <w:rPr>
                <w:i/>
                <w:iCs/>
                <w:sz w:val="23"/>
                <w:szCs w:val="23"/>
              </w:rPr>
            </w:pPr>
            <w:r>
              <w:rPr>
                <w:sz w:val="23"/>
                <w:szCs w:val="23"/>
              </w:rPr>
              <w:t xml:space="preserve">(3) The dates referred to in sections 3(2), 4(2) 6(2), 7(2) and 8(2) of the Tax Administration Laws Amendment Act, 2019 </w:t>
            </w:r>
            <w:r>
              <w:rPr>
                <w:sz w:val="23"/>
                <w:szCs w:val="23"/>
              </w:rPr>
              <w:lastRenderedPageBreak/>
              <w:t>(Act No. 33 of 2019), are hereby extended by three months to 1 October 2020.</w:t>
            </w:r>
          </w:p>
        </w:tc>
        <w:tc>
          <w:tcPr>
            <w:tcW w:w="4146" w:type="dxa"/>
            <w:vAlign w:val="center"/>
          </w:tcPr>
          <w:p w14:paraId="4C6A5BFF" w14:textId="77777777" w:rsidR="00D7177C" w:rsidRPr="00C25809" w:rsidRDefault="00D7177C" w:rsidP="00E26C5F">
            <w:pPr>
              <w:spacing w:line="276" w:lineRule="auto"/>
              <w:jc w:val="both"/>
              <w:rPr>
                <w:rFonts w:cs="Arial"/>
                <w:color w:val="000000" w:themeColor="text1"/>
                <w:szCs w:val="22"/>
              </w:rPr>
            </w:pPr>
          </w:p>
        </w:tc>
        <w:tc>
          <w:tcPr>
            <w:tcW w:w="3533" w:type="dxa"/>
            <w:vAlign w:val="center"/>
          </w:tcPr>
          <w:p w14:paraId="275815A9" w14:textId="77777777" w:rsidR="00D7177C" w:rsidRPr="00C25809" w:rsidRDefault="00D7177C" w:rsidP="00E26C5F">
            <w:pPr>
              <w:spacing w:line="276" w:lineRule="auto"/>
              <w:jc w:val="both"/>
              <w:rPr>
                <w:rFonts w:cs="Arial"/>
                <w:color w:val="000000" w:themeColor="text1"/>
                <w:szCs w:val="22"/>
              </w:rPr>
            </w:pPr>
          </w:p>
        </w:tc>
      </w:tr>
      <w:tr w:rsidR="00D7177C" w:rsidRPr="00C25809" w14:paraId="30334824" w14:textId="77777777" w:rsidTr="00E26C5F">
        <w:trPr>
          <w:trHeight w:val="340"/>
        </w:trPr>
        <w:tc>
          <w:tcPr>
            <w:tcW w:w="6429" w:type="dxa"/>
            <w:vAlign w:val="center"/>
          </w:tcPr>
          <w:p w14:paraId="394025FD" w14:textId="3D7C502E" w:rsidR="00D7177C" w:rsidRDefault="006605FE" w:rsidP="00E26C5F">
            <w:pPr>
              <w:spacing w:line="276" w:lineRule="auto"/>
              <w:jc w:val="both"/>
              <w:rPr>
                <w:i/>
                <w:iCs/>
                <w:sz w:val="23"/>
                <w:szCs w:val="23"/>
              </w:rPr>
            </w:pPr>
            <w:r>
              <w:rPr>
                <w:sz w:val="23"/>
                <w:szCs w:val="23"/>
              </w:rPr>
              <w:t>(4) This section commences on 26 March 2020.</w:t>
            </w:r>
          </w:p>
        </w:tc>
        <w:tc>
          <w:tcPr>
            <w:tcW w:w="4146" w:type="dxa"/>
            <w:vAlign w:val="center"/>
          </w:tcPr>
          <w:p w14:paraId="6CFE1E91" w14:textId="77777777" w:rsidR="00D7177C" w:rsidRPr="00C25809" w:rsidRDefault="00D7177C" w:rsidP="00E26C5F">
            <w:pPr>
              <w:spacing w:line="276" w:lineRule="auto"/>
              <w:jc w:val="both"/>
              <w:rPr>
                <w:rFonts w:cs="Arial"/>
                <w:color w:val="000000" w:themeColor="text1"/>
                <w:szCs w:val="22"/>
              </w:rPr>
            </w:pPr>
          </w:p>
        </w:tc>
        <w:tc>
          <w:tcPr>
            <w:tcW w:w="3533" w:type="dxa"/>
            <w:vAlign w:val="center"/>
          </w:tcPr>
          <w:p w14:paraId="6BE7A1B3" w14:textId="77777777" w:rsidR="00D7177C" w:rsidRPr="00C25809" w:rsidRDefault="00D7177C" w:rsidP="00E26C5F">
            <w:pPr>
              <w:spacing w:line="276" w:lineRule="auto"/>
              <w:jc w:val="both"/>
              <w:rPr>
                <w:rFonts w:cs="Arial"/>
                <w:color w:val="000000" w:themeColor="text1"/>
                <w:szCs w:val="22"/>
              </w:rPr>
            </w:pPr>
          </w:p>
        </w:tc>
      </w:tr>
      <w:tr w:rsidR="00E26C5F" w:rsidRPr="00C25809" w14:paraId="25DEC372" w14:textId="77777777" w:rsidTr="00E26C5F">
        <w:trPr>
          <w:trHeight w:val="340"/>
        </w:trPr>
        <w:tc>
          <w:tcPr>
            <w:tcW w:w="14108" w:type="dxa"/>
            <w:gridSpan w:val="3"/>
            <w:shd w:val="clear" w:color="auto" w:fill="C5E0B3" w:themeFill="accent6" w:themeFillTint="66"/>
            <w:vAlign w:val="center"/>
          </w:tcPr>
          <w:p w14:paraId="0258DB39" w14:textId="7C37F669" w:rsidR="00E26C5F" w:rsidRPr="00C25809" w:rsidRDefault="00A712A0" w:rsidP="00E26C5F">
            <w:pPr>
              <w:spacing w:line="276" w:lineRule="auto"/>
              <w:jc w:val="both"/>
              <w:rPr>
                <w:rFonts w:cs="Arial"/>
                <w:color w:val="000000" w:themeColor="text1"/>
                <w:szCs w:val="22"/>
              </w:rPr>
            </w:pPr>
            <w:r>
              <w:rPr>
                <w:b/>
                <w:bCs/>
                <w:sz w:val="23"/>
                <w:szCs w:val="23"/>
              </w:rPr>
              <w:t>Short title and commencement</w:t>
            </w:r>
          </w:p>
        </w:tc>
      </w:tr>
      <w:tr w:rsidR="00E26C5F" w:rsidRPr="00C25809" w14:paraId="35F11946" w14:textId="77777777" w:rsidTr="00E26C5F">
        <w:trPr>
          <w:trHeight w:val="340"/>
        </w:trPr>
        <w:tc>
          <w:tcPr>
            <w:tcW w:w="6429" w:type="dxa"/>
            <w:vAlign w:val="center"/>
          </w:tcPr>
          <w:p w14:paraId="6DFCA68F" w14:textId="7195887C" w:rsidR="00E26C5F" w:rsidRPr="00C25809" w:rsidRDefault="00A712A0" w:rsidP="00E26C5F">
            <w:pPr>
              <w:spacing w:line="276" w:lineRule="auto"/>
              <w:jc w:val="both"/>
              <w:rPr>
                <w:rFonts w:cs="Arial"/>
                <w:color w:val="000000" w:themeColor="text1"/>
                <w:szCs w:val="22"/>
              </w:rPr>
            </w:pPr>
            <w:r>
              <w:rPr>
                <w:b/>
                <w:bCs/>
                <w:sz w:val="23"/>
                <w:szCs w:val="23"/>
              </w:rPr>
              <w:t xml:space="preserve">8. </w:t>
            </w:r>
            <w:r>
              <w:rPr>
                <w:sz w:val="23"/>
                <w:szCs w:val="23"/>
              </w:rPr>
              <w:t>(1) This Act is called the Disaster Management Tax Relief Administration Act, 2020.</w:t>
            </w:r>
          </w:p>
        </w:tc>
        <w:tc>
          <w:tcPr>
            <w:tcW w:w="4146" w:type="dxa"/>
            <w:vAlign w:val="center"/>
          </w:tcPr>
          <w:p w14:paraId="108EAAFF" w14:textId="66596F6C" w:rsidR="00E26C5F" w:rsidRPr="00C25809" w:rsidRDefault="00E26C5F" w:rsidP="00E26C5F">
            <w:pPr>
              <w:spacing w:line="276" w:lineRule="auto"/>
              <w:jc w:val="both"/>
              <w:rPr>
                <w:rFonts w:cs="Arial"/>
                <w:color w:val="000000" w:themeColor="text1"/>
                <w:szCs w:val="22"/>
              </w:rPr>
            </w:pPr>
          </w:p>
        </w:tc>
        <w:tc>
          <w:tcPr>
            <w:tcW w:w="3533" w:type="dxa"/>
            <w:vAlign w:val="center"/>
          </w:tcPr>
          <w:p w14:paraId="4C42B39B" w14:textId="77777777" w:rsidR="00E26C5F" w:rsidRPr="00C25809" w:rsidRDefault="00E26C5F" w:rsidP="00E26C5F">
            <w:pPr>
              <w:spacing w:line="276" w:lineRule="auto"/>
              <w:jc w:val="both"/>
              <w:rPr>
                <w:rFonts w:cs="Arial"/>
                <w:color w:val="000000" w:themeColor="text1"/>
                <w:szCs w:val="22"/>
              </w:rPr>
            </w:pPr>
          </w:p>
        </w:tc>
      </w:tr>
      <w:tr w:rsidR="00E26C5F" w:rsidRPr="00C25809" w14:paraId="0E22BA93" w14:textId="77777777" w:rsidTr="00E26C5F">
        <w:trPr>
          <w:trHeight w:val="340"/>
        </w:trPr>
        <w:tc>
          <w:tcPr>
            <w:tcW w:w="6429" w:type="dxa"/>
            <w:vAlign w:val="center"/>
          </w:tcPr>
          <w:p w14:paraId="7D6375B5" w14:textId="109FFFAE" w:rsidR="00E26C5F" w:rsidRPr="00C25809" w:rsidRDefault="00A712A0" w:rsidP="00E26C5F">
            <w:pPr>
              <w:spacing w:line="276" w:lineRule="auto"/>
              <w:jc w:val="both"/>
              <w:rPr>
                <w:rFonts w:cs="Arial"/>
                <w:color w:val="000000" w:themeColor="text1"/>
                <w:szCs w:val="22"/>
                <w:lang w:val="en-ZA"/>
              </w:rPr>
            </w:pPr>
            <w:r>
              <w:rPr>
                <w:sz w:val="23"/>
                <w:szCs w:val="23"/>
              </w:rPr>
              <w:t>(2) Save in so far as is otherwise provided for in this Act, or the context otherwise indicates, the amendments effected by this Act come into operation on 1 April 2020.</w:t>
            </w:r>
          </w:p>
        </w:tc>
        <w:tc>
          <w:tcPr>
            <w:tcW w:w="4146" w:type="dxa"/>
            <w:vAlign w:val="center"/>
          </w:tcPr>
          <w:p w14:paraId="6BA79471" w14:textId="6E884011" w:rsidR="00E26C5F" w:rsidRPr="00C25809" w:rsidRDefault="00E26C5F" w:rsidP="00E26C5F">
            <w:pPr>
              <w:spacing w:line="276" w:lineRule="auto"/>
              <w:jc w:val="both"/>
              <w:rPr>
                <w:rFonts w:cs="Arial"/>
                <w:color w:val="000000" w:themeColor="text1"/>
                <w:szCs w:val="22"/>
              </w:rPr>
            </w:pPr>
          </w:p>
        </w:tc>
        <w:tc>
          <w:tcPr>
            <w:tcW w:w="3533" w:type="dxa"/>
            <w:vAlign w:val="center"/>
          </w:tcPr>
          <w:p w14:paraId="16F69E47" w14:textId="77777777" w:rsidR="00E26C5F" w:rsidRPr="00C25809" w:rsidRDefault="00E26C5F" w:rsidP="00E26C5F">
            <w:pPr>
              <w:spacing w:line="276" w:lineRule="auto"/>
              <w:jc w:val="both"/>
              <w:rPr>
                <w:rFonts w:cs="Arial"/>
                <w:color w:val="000000" w:themeColor="text1"/>
                <w:szCs w:val="22"/>
              </w:rPr>
            </w:pPr>
          </w:p>
        </w:tc>
      </w:tr>
    </w:tbl>
    <w:p w14:paraId="72BEDF7A" w14:textId="77777777" w:rsidR="003109A5" w:rsidRDefault="003109A5" w:rsidP="00A67A87">
      <w:pPr>
        <w:spacing w:line="276" w:lineRule="auto"/>
        <w:jc w:val="both"/>
        <w:rPr>
          <w:rFonts w:cs="Arial"/>
          <w:color w:val="000000" w:themeColor="text1"/>
          <w:szCs w:val="22"/>
        </w:rPr>
        <w:sectPr w:rsidR="003109A5" w:rsidSect="00D572D4">
          <w:headerReference w:type="even" r:id="rId8"/>
          <w:headerReference w:type="default" r:id="rId9"/>
          <w:footerReference w:type="default" r:id="rId10"/>
          <w:headerReference w:type="first" r:id="rId11"/>
          <w:pgSz w:w="16840" w:h="11900" w:orient="landscape"/>
          <w:pgMar w:top="1928" w:right="1361" w:bottom="1307" w:left="1361" w:header="709" w:footer="709" w:gutter="0"/>
          <w:cols w:space="708"/>
          <w:titlePg/>
          <w:docGrid w:linePitch="360"/>
        </w:sectPr>
      </w:pPr>
    </w:p>
    <w:p w14:paraId="0DE8C051" w14:textId="6DC690DF" w:rsidR="00D567FC" w:rsidRPr="0075426D" w:rsidRDefault="00D567FC" w:rsidP="0075426D">
      <w:pPr>
        <w:pStyle w:val="Default"/>
        <w:spacing w:line="360" w:lineRule="auto"/>
        <w:jc w:val="center"/>
        <w:rPr>
          <w:sz w:val="23"/>
          <w:szCs w:val="23"/>
        </w:rPr>
      </w:pPr>
      <w:r>
        <w:rPr>
          <w:b/>
          <w:bCs/>
          <w:sz w:val="23"/>
          <w:szCs w:val="23"/>
        </w:rPr>
        <w:lastRenderedPageBreak/>
        <w:t>MEMORANDUM OF OBJECTS OF THE DRAFT DISASTER MANAGEMENT TAX RELIEF ADMINISTRATION BILL, 2020</w:t>
      </w:r>
    </w:p>
    <w:p w14:paraId="2EF36BED" w14:textId="4B8023C3" w:rsidR="00D567FC" w:rsidRDefault="00D567FC" w:rsidP="0075426D">
      <w:pPr>
        <w:pStyle w:val="Default"/>
        <w:spacing w:after="416" w:line="360" w:lineRule="auto"/>
        <w:jc w:val="both"/>
        <w:rPr>
          <w:b/>
          <w:bCs/>
          <w:sz w:val="23"/>
          <w:szCs w:val="23"/>
        </w:rPr>
      </w:pPr>
      <w:r>
        <w:rPr>
          <w:b/>
          <w:bCs/>
          <w:sz w:val="23"/>
          <w:szCs w:val="23"/>
        </w:rPr>
        <w:t xml:space="preserve">1. PURPOSE OF THE BILL </w:t>
      </w:r>
    </w:p>
    <w:p w14:paraId="593400AF" w14:textId="70EC2925" w:rsidR="00D567FC" w:rsidRDefault="00D567FC" w:rsidP="0075426D">
      <w:pPr>
        <w:pStyle w:val="Default"/>
        <w:spacing w:after="416" w:line="360" w:lineRule="auto"/>
        <w:jc w:val="both"/>
        <w:rPr>
          <w:sz w:val="23"/>
          <w:szCs w:val="23"/>
        </w:rPr>
      </w:pPr>
      <w:r>
        <w:rPr>
          <w:sz w:val="23"/>
          <w:szCs w:val="23"/>
        </w:rPr>
        <w:t xml:space="preserve">1.1. The recent COVID-19 outbreak will have significant and potentially lasting impacts on the economy, with businesses facing the risk of cash flow problems. Tax compliant small to medium sized businesses play an important role in stimulating economic activity, job creation, poverty alleviation as well as the general improvement of living standards, and are expected to be amongst the hardest hit. In order to assist tax compliant small to medium sized businesses, Government proposes measures aimed at assisting to alleviate cash flow problems experienced during this difficult period. </w:t>
      </w:r>
    </w:p>
    <w:p w14:paraId="3B0B12AA" w14:textId="77777777" w:rsidR="00D567FC" w:rsidRDefault="00D567FC" w:rsidP="0075426D">
      <w:pPr>
        <w:pStyle w:val="Default"/>
        <w:spacing w:after="416" w:line="360" w:lineRule="auto"/>
        <w:jc w:val="both"/>
        <w:rPr>
          <w:sz w:val="23"/>
          <w:szCs w:val="23"/>
        </w:rPr>
      </w:pPr>
      <w:r>
        <w:rPr>
          <w:sz w:val="23"/>
          <w:szCs w:val="23"/>
        </w:rPr>
        <w:t xml:space="preserve">1.2. Several countries have implemented measures whereby businesses </w:t>
      </w:r>
      <w:proofErr w:type="gramStart"/>
      <w:r>
        <w:rPr>
          <w:sz w:val="23"/>
          <w:szCs w:val="23"/>
        </w:rPr>
        <w:t>are allowed to</w:t>
      </w:r>
      <w:proofErr w:type="gramEnd"/>
      <w:r>
        <w:rPr>
          <w:sz w:val="23"/>
          <w:szCs w:val="23"/>
        </w:rPr>
        <w:t xml:space="preserve"> defer the transfer of payroll taxes to the tax authority. This can be in the form of a temporary suspension of payments for a fixed period (for most countries the suspension period is between 3 and 6 months), or by allowing businesses to pay taxes in instalments. The purpose of such measures is to assist businesses with liquidity in a time where business activity is likely to see an unprecedented decline in gross income. The benefit of the measure is immediate cash flow relief that could enable businesses to survive. </w:t>
      </w:r>
    </w:p>
    <w:p w14:paraId="32D7DC79" w14:textId="7FCE2598" w:rsidR="00D567FC" w:rsidRDefault="00D567FC" w:rsidP="0075426D">
      <w:pPr>
        <w:pStyle w:val="Default"/>
        <w:spacing w:line="360" w:lineRule="auto"/>
        <w:jc w:val="both"/>
        <w:rPr>
          <w:sz w:val="23"/>
          <w:szCs w:val="23"/>
        </w:rPr>
      </w:pPr>
      <w:r>
        <w:rPr>
          <w:sz w:val="23"/>
          <w:szCs w:val="23"/>
        </w:rPr>
        <w:t xml:space="preserve">1.3. Furthermore, allowing for a deferred payment of provisional liabilities should assist these businesses by providing additional cash flow during the crisis. This could be the difference between pushing a small or </w:t>
      </w:r>
      <w:r w:rsidR="00D21D0D" w:rsidRPr="00D21D0D">
        <w:rPr>
          <w:sz w:val="23"/>
          <w:szCs w:val="23"/>
        </w:rPr>
        <w:t>medium sized business into liquidation, or providing some space for the business to get through the crisis and add to the economic recovery, hopefully being a source of higher tax revenue in the medium term.</w:t>
      </w:r>
    </w:p>
    <w:p w14:paraId="5CE08B6D" w14:textId="77777777" w:rsidR="00D21D0D" w:rsidRPr="00D21D0D" w:rsidRDefault="00D21D0D" w:rsidP="0075426D">
      <w:pPr>
        <w:pStyle w:val="Default"/>
        <w:spacing w:line="360" w:lineRule="auto"/>
        <w:jc w:val="both"/>
        <w:rPr>
          <w:sz w:val="23"/>
          <w:szCs w:val="23"/>
        </w:rPr>
      </w:pPr>
    </w:p>
    <w:p w14:paraId="2D51B3FC" w14:textId="029BB48A" w:rsidR="00D21D0D" w:rsidRDefault="00D21D0D" w:rsidP="0075426D">
      <w:pPr>
        <w:pStyle w:val="Default"/>
        <w:spacing w:line="360" w:lineRule="auto"/>
        <w:jc w:val="both"/>
        <w:rPr>
          <w:sz w:val="23"/>
          <w:szCs w:val="23"/>
        </w:rPr>
      </w:pPr>
      <w:r w:rsidRPr="00D21D0D">
        <w:rPr>
          <w:sz w:val="23"/>
          <w:szCs w:val="23"/>
        </w:rPr>
        <w:t xml:space="preserve">1.4. A provision to increase the percentage of donations to be considered as tax-deductible donations from employees’ tax, seeks to alleviate the </w:t>
      </w:r>
      <w:proofErr w:type="spellStart"/>
      <w:r w:rsidRPr="00D21D0D">
        <w:rPr>
          <w:sz w:val="23"/>
          <w:szCs w:val="23"/>
        </w:rPr>
        <w:t>cahflow</w:t>
      </w:r>
      <w:proofErr w:type="spellEnd"/>
      <w:r w:rsidRPr="00D21D0D">
        <w:rPr>
          <w:sz w:val="23"/>
          <w:szCs w:val="23"/>
        </w:rPr>
        <w:t xml:space="preserve"> difficulties of employees where their employers contribute to the Solidarity Fund on their behalf. </w:t>
      </w:r>
    </w:p>
    <w:p w14:paraId="2A69CF93" w14:textId="77777777" w:rsidR="0075426D" w:rsidRPr="00D21D0D" w:rsidRDefault="0075426D" w:rsidP="0075426D">
      <w:pPr>
        <w:pStyle w:val="Default"/>
        <w:spacing w:line="360" w:lineRule="auto"/>
        <w:jc w:val="both"/>
        <w:rPr>
          <w:sz w:val="23"/>
          <w:szCs w:val="23"/>
        </w:rPr>
      </w:pPr>
    </w:p>
    <w:p w14:paraId="327286CA" w14:textId="364C1AEA" w:rsidR="00D21D0D" w:rsidRDefault="00D21D0D" w:rsidP="0075426D">
      <w:pPr>
        <w:pStyle w:val="Default"/>
        <w:spacing w:line="360" w:lineRule="auto"/>
        <w:jc w:val="both"/>
        <w:rPr>
          <w:sz w:val="23"/>
          <w:szCs w:val="23"/>
        </w:rPr>
      </w:pPr>
      <w:r w:rsidRPr="00D21D0D">
        <w:rPr>
          <w:sz w:val="23"/>
          <w:szCs w:val="23"/>
        </w:rPr>
        <w:t xml:space="preserve">1.5. A provision is included to permit vendors currently registered under either category A or category B, i.e. vendors currently required to submit VAT returns bi-monthly, to temporarily file their returns on a monthly basis, thereby being able to submit their VAT refund returns more frequently and unlocking any refunds due to the vendor faster. </w:t>
      </w:r>
    </w:p>
    <w:p w14:paraId="20B14792" w14:textId="77777777" w:rsidR="0075426D" w:rsidRPr="00D21D0D" w:rsidRDefault="0075426D" w:rsidP="0075426D">
      <w:pPr>
        <w:pStyle w:val="Default"/>
        <w:spacing w:line="360" w:lineRule="auto"/>
        <w:jc w:val="both"/>
        <w:rPr>
          <w:sz w:val="23"/>
          <w:szCs w:val="23"/>
        </w:rPr>
      </w:pPr>
    </w:p>
    <w:p w14:paraId="6EA9CEB8" w14:textId="384D1226" w:rsidR="00D21D0D" w:rsidRDefault="00D21D0D" w:rsidP="0075426D">
      <w:pPr>
        <w:pStyle w:val="Default"/>
        <w:spacing w:line="360" w:lineRule="auto"/>
        <w:jc w:val="both"/>
        <w:rPr>
          <w:sz w:val="23"/>
          <w:szCs w:val="23"/>
        </w:rPr>
      </w:pPr>
      <w:r w:rsidRPr="00D21D0D">
        <w:rPr>
          <w:sz w:val="23"/>
          <w:szCs w:val="23"/>
        </w:rPr>
        <w:lastRenderedPageBreak/>
        <w:t xml:space="preserve">1.6. Provision is also made for the extension of certain time periods prescribed under the tax Acts or Customs and Excise Act to allow taxpayers or traders more time to comply with obligations under these Acts. </w:t>
      </w:r>
    </w:p>
    <w:p w14:paraId="7FBDFAD1" w14:textId="77777777" w:rsidR="0075426D" w:rsidRPr="00D21D0D" w:rsidRDefault="0075426D" w:rsidP="0075426D">
      <w:pPr>
        <w:pStyle w:val="Default"/>
        <w:spacing w:line="360" w:lineRule="auto"/>
        <w:jc w:val="both"/>
        <w:rPr>
          <w:sz w:val="23"/>
          <w:szCs w:val="23"/>
        </w:rPr>
      </w:pPr>
    </w:p>
    <w:p w14:paraId="036C52CC" w14:textId="77777777" w:rsidR="00D21D0D" w:rsidRPr="00D21D0D" w:rsidRDefault="00D21D0D" w:rsidP="0075426D">
      <w:pPr>
        <w:pStyle w:val="Default"/>
        <w:spacing w:line="360" w:lineRule="auto"/>
        <w:jc w:val="both"/>
        <w:rPr>
          <w:sz w:val="23"/>
          <w:szCs w:val="23"/>
        </w:rPr>
      </w:pPr>
      <w:r w:rsidRPr="00D21D0D">
        <w:rPr>
          <w:sz w:val="23"/>
          <w:szCs w:val="23"/>
        </w:rPr>
        <w:t xml:space="preserve">2.1. </w:t>
      </w:r>
      <w:r w:rsidRPr="00D21D0D">
        <w:rPr>
          <w:b/>
          <w:bCs/>
          <w:sz w:val="23"/>
          <w:szCs w:val="23"/>
        </w:rPr>
        <w:t xml:space="preserve">DEFINITIONS </w:t>
      </w:r>
    </w:p>
    <w:p w14:paraId="3BC9C983" w14:textId="77777777" w:rsidR="00D21D0D" w:rsidRPr="00D21D0D" w:rsidRDefault="00D21D0D" w:rsidP="0075426D">
      <w:pPr>
        <w:pStyle w:val="Default"/>
        <w:spacing w:line="360" w:lineRule="auto"/>
        <w:jc w:val="both"/>
        <w:rPr>
          <w:sz w:val="23"/>
          <w:szCs w:val="23"/>
        </w:rPr>
      </w:pPr>
    </w:p>
    <w:p w14:paraId="4744708B" w14:textId="57ED5584" w:rsidR="00D21D0D" w:rsidRPr="00D21D0D" w:rsidRDefault="00D21D0D" w:rsidP="0075426D">
      <w:pPr>
        <w:pStyle w:val="Default"/>
        <w:spacing w:line="360" w:lineRule="auto"/>
        <w:jc w:val="both"/>
        <w:rPr>
          <w:sz w:val="23"/>
          <w:szCs w:val="23"/>
        </w:rPr>
      </w:pPr>
      <w:r w:rsidRPr="00D21D0D">
        <w:rPr>
          <w:b/>
          <w:bCs/>
          <w:sz w:val="23"/>
          <w:szCs w:val="23"/>
        </w:rPr>
        <w:t xml:space="preserve">2. OBJECTS OF THE BILL </w:t>
      </w:r>
      <w:r w:rsidR="007D79EA" w:rsidRPr="007D79EA">
        <w:rPr>
          <w:b/>
          <w:bCs/>
          <w:sz w:val="23"/>
          <w:szCs w:val="23"/>
        </w:rPr>
        <w:t>(CLAUSE 1)</w:t>
      </w:r>
    </w:p>
    <w:p w14:paraId="50CA7B5D" w14:textId="77777777" w:rsidR="007D79EA" w:rsidRPr="007D79EA" w:rsidRDefault="007D79EA" w:rsidP="0075426D">
      <w:pPr>
        <w:tabs>
          <w:tab w:val="left" w:pos="4580"/>
        </w:tabs>
        <w:spacing w:line="360" w:lineRule="auto"/>
        <w:jc w:val="both"/>
        <w:rPr>
          <w:rFonts w:cs="Arial"/>
          <w:szCs w:val="22"/>
          <w:lang w:val="en-ZA"/>
        </w:rPr>
      </w:pPr>
    </w:p>
    <w:p w14:paraId="02EB8BCF" w14:textId="65781792" w:rsidR="007D79EA" w:rsidRDefault="007D79EA" w:rsidP="0075426D">
      <w:pPr>
        <w:tabs>
          <w:tab w:val="left" w:pos="4580"/>
        </w:tabs>
        <w:spacing w:line="360" w:lineRule="auto"/>
        <w:jc w:val="both"/>
        <w:rPr>
          <w:rFonts w:cs="Arial"/>
          <w:szCs w:val="22"/>
          <w:lang w:val="en-ZA"/>
        </w:rPr>
      </w:pPr>
      <w:r w:rsidRPr="007D79EA">
        <w:rPr>
          <w:rFonts w:cs="Arial"/>
          <w:szCs w:val="22"/>
          <w:lang w:val="en-ZA"/>
        </w:rPr>
        <w:t xml:space="preserve">2.1.1. The definition of “national lockdown” seeks to provide clarity on the origin and time period of the lockdown. </w:t>
      </w:r>
    </w:p>
    <w:p w14:paraId="4B2D3918" w14:textId="77777777" w:rsidR="007D79EA" w:rsidRPr="007D79EA" w:rsidRDefault="007D79EA" w:rsidP="0075426D">
      <w:pPr>
        <w:tabs>
          <w:tab w:val="left" w:pos="4580"/>
        </w:tabs>
        <w:spacing w:line="360" w:lineRule="auto"/>
        <w:jc w:val="both"/>
        <w:rPr>
          <w:rFonts w:cs="Arial"/>
          <w:szCs w:val="22"/>
          <w:lang w:val="en-ZA"/>
        </w:rPr>
      </w:pPr>
    </w:p>
    <w:p w14:paraId="215F42B1" w14:textId="20F42DA1" w:rsidR="007D79EA" w:rsidRDefault="007D79EA" w:rsidP="0075426D">
      <w:pPr>
        <w:tabs>
          <w:tab w:val="left" w:pos="4580"/>
        </w:tabs>
        <w:spacing w:line="360" w:lineRule="auto"/>
        <w:jc w:val="both"/>
        <w:rPr>
          <w:rFonts w:cs="Arial"/>
          <w:szCs w:val="22"/>
          <w:lang w:val="en-ZA"/>
        </w:rPr>
      </w:pPr>
      <w:r w:rsidRPr="007D79EA">
        <w:rPr>
          <w:rFonts w:cs="Arial"/>
          <w:szCs w:val="22"/>
          <w:lang w:val="en-ZA"/>
        </w:rPr>
        <w:t xml:space="preserve">2.1.2. The definition of “qualifying micro business” seeks to provide clarity on the micro businesses that qualify for the relief under clause 4. </w:t>
      </w:r>
    </w:p>
    <w:p w14:paraId="5CDFAEA2" w14:textId="77777777" w:rsidR="000D412C" w:rsidRPr="000D412C" w:rsidRDefault="000D412C" w:rsidP="0075426D">
      <w:pPr>
        <w:tabs>
          <w:tab w:val="left" w:pos="4580"/>
        </w:tabs>
        <w:spacing w:line="360" w:lineRule="auto"/>
        <w:jc w:val="both"/>
        <w:rPr>
          <w:rFonts w:cs="Arial"/>
          <w:szCs w:val="22"/>
          <w:lang w:val="en-ZA"/>
        </w:rPr>
      </w:pPr>
    </w:p>
    <w:p w14:paraId="0C3B6DFF" w14:textId="6B764F6A" w:rsidR="000D412C" w:rsidRDefault="000D412C" w:rsidP="0075426D">
      <w:pPr>
        <w:tabs>
          <w:tab w:val="left" w:pos="4580"/>
        </w:tabs>
        <w:spacing w:line="360" w:lineRule="auto"/>
        <w:jc w:val="both"/>
        <w:rPr>
          <w:rFonts w:cs="Arial"/>
          <w:szCs w:val="22"/>
          <w:lang w:val="en-ZA"/>
        </w:rPr>
      </w:pPr>
      <w:r w:rsidRPr="000D412C">
        <w:rPr>
          <w:rFonts w:cs="Arial"/>
          <w:szCs w:val="22"/>
          <w:lang w:val="en-ZA"/>
        </w:rPr>
        <w:t xml:space="preserve">2.1.3. The definition of “qualifying taxpayer” seeks to provide clarity on the taxpayers that qualify for the relief under clauses 2 and 3. </w:t>
      </w:r>
    </w:p>
    <w:p w14:paraId="34D17A70" w14:textId="77777777" w:rsidR="000D412C" w:rsidRPr="000D412C" w:rsidRDefault="000D412C" w:rsidP="0075426D">
      <w:pPr>
        <w:tabs>
          <w:tab w:val="left" w:pos="4580"/>
        </w:tabs>
        <w:spacing w:line="360" w:lineRule="auto"/>
        <w:jc w:val="both"/>
        <w:rPr>
          <w:rFonts w:cs="Arial"/>
          <w:szCs w:val="22"/>
          <w:lang w:val="en-ZA"/>
        </w:rPr>
      </w:pPr>
    </w:p>
    <w:p w14:paraId="5EF78DC0" w14:textId="77777777" w:rsidR="000D412C" w:rsidRPr="000D412C" w:rsidRDefault="000D412C" w:rsidP="0075426D">
      <w:pPr>
        <w:tabs>
          <w:tab w:val="left" w:pos="4580"/>
        </w:tabs>
        <w:spacing w:line="360" w:lineRule="auto"/>
        <w:jc w:val="both"/>
        <w:rPr>
          <w:rFonts w:cs="Arial"/>
          <w:szCs w:val="22"/>
          <w:lang w:val="en-ZA"/>
        </w:rPr>
      </w:pPr>
      <w:r w:rsidRPr="000D412C">
        <w:rPr>
          <w:rFonts w:cs="Arial"/>
          <w:szCs w:val="22"/>
          <w:lang w:val="en-ZA"/>
        </w:rPr>
        <w:t xml:space="preserve">2.1.4. The definition of “Solidarity Fund” seeks to provide clarity on what fund is intended for purposes of clause 5. </w:t>
      </w:r>
    </w:p>
    <w:p w14:paraId="5A05EED7" w14:textId="77777777" w:rsidR="000D412C" w:rsidRPr="000D412C" w:rsidRDefault="000D412C" w:rsidP="0075426D">
      <w:pPr>
        <w:tabs>
          <w:tab w:val="left" w:pos="4580"/>
        </w:tabs>
        <w:spacing w:line="360" w:lineRule="auto"/>
        <w:jc w:val="both"/>
        <w:rPr>
          <w:rFonts w:cs="Arial"/>
          <w:szCs w:val="22"/>
          <w:lang w:val="en-ZA"/>
        </w:rPr>
      </w:pPr>
    </w:p>
    <w:p w14:paraId="296AEA2E" w14:textId="77777777" w:rsidR="000D412C" w:rsidRDefault="000D412C" w:rsidP="0075426D">
      <w:pPr>
        <w:tabs>
          <w:tab w:val="left" w:pos="4580"/>
        </w:tabs>
        <w:spacing w:line="360" w:lineRule="auto"/>
        <w:jc w:val="both"/>
        <w:rPr>
          <w:rFonts w:cs="Arial"/>
          <w:b/>
          <w:bCs/>
          <w:szCs w:val="22"/>
          <w:lang w:val="en-ZA"/>
        </w:rPr>
      </w:pPr>
      <w:r w:rsidRPr="000D412C">
        <w:rPr>
          <w:rFonts w:cs="Arial"/>
          <w:szCs w:val="22"/>
          <w:lang w:val="en-ZA"/>
        </w:rPr>
        <w:t xml:space="preserve">2.2. </w:t>
      </w:r>
      <w:r w:rsidRPr="000D412C">
        <w:rPr>
          <w:rFonts w:cs="Arial"/>
          <w:b/>
          <w:bCs/>
          <w:szCs w:val="22"/>
          <w:lang w:val="en-ZA"/>
        </w:rPr>
        <w:t>DEFERRAL OF EMPLOYEES’ TAX (CLAUSE 2)</w:t>
      </w:r>
    </w:p>
    <w:p w14:paraId="67A624DE" w14:textId="77777777" w:rsidR="000D412C" w:rsidRDefault="000D412C" w:rsidP="0075426D">
      <w:pPr>
        <w:tabs>
          <w:tab w:val="left" w:pos="4580"/>
        </w:tabs>
        <w:spacing w:line="360" w:lineRule="auto"/>
        <w:jc w:val="both"/>
        <w:rPr>
          <w:rFonts w:cs="Arial"/>
          <w:b/>
          <w:bCs/>
          <w:szCs w:val="22"/>
          <w:lang w:val="en-ZA"/>
        </w:rPr>
      </w:pPr>
    </w:p>
    <w:p w14:paraId="30A8A41E" w14:textId="3EA49A2C" w:rsidR="000D412C" w:rsidRDefault="000D412C" w:rsidP="0075426D">
      <w:pPr>
        <w:tabs>
          <w:tab w:val="left" w:pos="4580"/>
        </w:tabs>
        <w:spacing w:line="360" w:lineRule="auto"/>
        <w:jc w:val="both"/>
        <w:rPr>
          <w:rFonts w:cs="Arial"/>
          <w:szCs w:val="22"/>
          <w:lang w:val="en-ZA"/>
        </w:rPr>
      </w:pPr>
      <w:r w:rsidRPr="000D412C">
        <w:rPr>
          <w:rFonts w:cs="Arial"/>
          <w:szCs w:val="22"/>
          <w:lang w:val="en-ZA"/>
        </w:rPr>
        <w:t xml:space="preserve">2.2.1. Paragraph 2 of the Fourth Schedule to the Income Tax Act (the Act) makes provision for a resident employer or representative employer (in cases where the employer is non-resident) to deduct employees’ tax (PAYE) from remuneration paid to its employees. In addition, the employer or representative employer must submit a return and the payment of PAYE withheld and paid to the South African Revenue Service (SARS) within seven days after the end of the month for which the PAYE was deducted. Administrative penalties may be imposed in terms of paragraph 6 of the Fourth Schedule to the Income Tax Act for late payment of PAYE. </w:t>
      </w:r>
    </w:p>
    <w:p w14:paraId="4BBB4C98" w14:textId="77777777" w:rsidR="000D412C" w:rsidRPr="000D412C" w:rsidRDefault="000D412C" w:rsidP="0075426D">
      <w:pPr>
        <w:tabs>
          <w:tab w:val="left" w:pos="4580"/>
        </w:tabs>
        <w:spacing w:line="360" w:lineRule="auto"/>
        <w:jc w:val="both"/>
        <w:rPr>
          <w:rFonts w:cs="Arial"/>
          <w:szCs w:val="22"/>
          <w:lang w:val="en-ZA"/>
        </w:rPr>
      </w:pPr>
    </w:p>
    <w:p w14:paraId="50ACEFF5" w14:textId="77777777" w:rsidR="000D412C" w:rsidRPr="000D412C" w:rsidRDefault="000D412C" w:rsidP="0075426D">
      <w:pPr>
        <w:tabs>
          <w:tab w:val="left" w:pos="4580"/>
        </w:tabs>
        <w:spacing w:line="360" w:lineRule="auto"/>
        <w:jc w:val="both"/>
        <w:rPr>
          <w:rFonts w:cs="Arial"/>
          <w:szCs w:val="22"/>
          <w:lang w:val="en-ZA"/>
        </w:rPr>
      </w:pPr>
      <w:r w:rsidRPr="000D412C">
        <w:rPr>
          <w:rFonts w:cs="Arial"/>
          <w:szCs w:val="22"/>
          <w:lang w:val="en-ZA"/>
        </w:rPr>
        <w:t xml:space="preserve">2.2.2. In order to assist with alleviating any cash flow burden arising as a result of the COVID-19 outbreak, the following tax measures are proposed for qualifying employers, for a limited period of four months, beginning 1 April 2020 and ending on 31 July 2020: 2.2.2.1. Deferral of payment of 35% of the PAYE liability, commencing with the payment due on 7 May 2020 and ending with the payment due on 7 August 2020, without SARS imposing administrative penalties and interest for the late payment thereof. </w:t>
      </w:r>
    </w:p>
    <w:p w14:paraId="4FEBB7C4" w14:textId="77777777" w:rsidR="00406880" w:rsidRDefault="00406880" w:rsidP="0075426D">
      <w:pPr>
        <w:pStyle w:val="Default"/>
        <w:spacing w:line="360" w:lineRule="auto"/>
        <w:jc w:val="both"/>
      </w:pPr>
    </w:p>
    <w:p w14:paraId="20F5C1FB" w14:textId="77777777" w:rsidR="00406880" w:rsidRDefault="00406880" w:rsidP="0075426D">
      <w:pPr>
        <w:pStyle w:val="Default"/>
        <w:spacing w:line="360" w:lineRule="auto"/>
        <w:jc w:val="both"/>
        <w:rPr>
          <w:sz w:val="23"/>
          <w:szCs w:val="23"/>
        </w:rPr>
      </w:pPr>
      <w:r>
        <w:rPr>
          <w:sz w:val="23"/>
          <w:szCs w:val="23"/>
        </w:rPr>
        <w:lastRenderedPageBreak/>
        <w:t xml:space="preserve">2.2.2.2. The deferred PAYE liability must be paid to SARS in six equal instalments commencing on 7 September 2020 and ending on 5 February 2021. </w:t>
      </w:r>
    </w:p>
    <w:p w14:paraId="0F1F839E" w14:textId="77777777" w:rsidR="00406880" w:rsidRDefault="00406880" w:rsidP="0075426D">
      <w:pPr>
        <w:pStyle w:val="Default"/>
        <w:spacing w:line="360" w:lineRule="auto"/>
        <w:jc w:val="both"/>
        <w:rPr>
          <w:sz w:val="23"/>
          <w:szCs w:val="23"/>
        </w:rPr>
      </w:pPr>
    </w:p>
    <w:p w14:paraId="6FD76DDA" w14:textId="77777777" w:rsidR="00406880" w:rsidRDefault="00406880" w:rsidP="0075426D">
      <w:pPr>
        <w:pStyle w:val="Default"/>
        <w:spacing w:line="360" w:lineRule="auto"/>
        <w:jc w:val="both"/>
        <w:rPr>
          <w:sz w:val="23"/>
          <w:szCs w:val="23"/>
        </w:rPr>
      </w:pPr>
      <w:r>
        <w:rPr>
          <w:sz w:val="23"/>
          <w:szCs w:val="23"/>
        </w:rPr>
        <w:t>2.2.3. For the purposes of this proposal, small or medium sized business means a business conducted by a company, partnership, individual or trust with a gross income not exceeding R100 million for the year of assessment within which the period falls, where such gross income does not include more than 20% in aggregate of interest, dividends, foreign dividends, royalties, rental from letting fixed property, annuities, and any remuneration received from an employer. Rental from letting fixed property is not considered for the purposes of this test if the primary trading activity of the company, trust, partnership or individual is the letting of fixed properties and substantially the whole of the gross income is rental from fixed property.</w:t>
      </w:r>
    </w:p>
    <w:p w14:paraId="4708F82C" w14:textId="77BB8482" w:rsidR="00406880" w:rsidRDefault="00406880" w:rsidP="0075426D">
      <w:pPr>
        <w:pStyle w:val="Default"/>
        <w:spacing w:line="360" w:lineRule="auto"/>
        <w:jc w:val="both"/>
        <w:rPr>
          <w:sz w:val="23"/>
          <w:szCs w:val="23"/>
        </w:rPr>
      </w:pPr>
      <w:r>
        <w:rPr>
          <w:sz w:val="23"/>
          <w:szCs w:val="23"/>
        </w:rPr>
        <w:t xml:space="preserve"> </w:t>
      </w:r>
    </w:p>
    <w:p w14:paraId="3E259D88" w14:textId="77777777" w:rsidR="00406880" w:rsidRDefault="00406880" w:rsidP="0075426D">
      <w:pPr>
        <w:pStyle w:val="Default"/>
        <w:spacing w:after="416" w:line="360" w:lineRule="auto"/>
        <w:jc w:val="both"/>
        <w:rPr>
          <w:sz w:val="23"/>
          <w:szCs w:val="23"/>
        </w:rPr>
      </w:pPr>
      <w:r>
        <w:rPr>
          <w:sz w:val="23"/>
          <w:szCs w:val="23"/>
        </w:rPr>
        <w:t xml:space="preserve">2.2.4. The above-mentioned proposals will not apply to an employer or representative employer that— 2.2.4.1. has failed to submit any return as defined in section 1 of the Tax Administration, 2011 (TAA) on the basis required by section 25 of the TAA; or </w:t>
      </w:r>
    </w:p>
    <w:p w14:paraId="44193350" w14:textId="77777777" w:rsidR="00406880" w:rsidRDefault="00406880" w:rsidP="0075426D">
      <w:pPr>
        <w:pStyle w:val="Default"/>
        <w:spacing w:line="360" w:lineRule="auto"/>
        <w:jc w:val="both"/>
        <w:rPr>
          <w:sz w:val="23"/>
          <w:szCs w:val="23"/>
        </w:rPr>
      </w:pPr>
      <w:r>
        <w:rPr>
          <w:sz w:val="23"/>
          <w:szCs w:val="23"/>
        </w:rPr>
        <w:t xml:space="preserve">2.2.4.2. has any outstanding tax debt as defined in section 1 of the TAA, but excluding a tax debt— </w:t>
      </w:r>
    </w:p>
    <w:p w14:paraId="0C9B3663" w14:textId="77777777" w:rsidR="00B45E88" w:rsidRDefault="00B45E88" w:rsidP="0075426D">
      <w:pPr>
        <w:pStyle w:val="Default"/>
        <w:spacing w:line="360" w:lineRule="auto"/>
        <w:jc w:val="both"/>
      </w:pPr>
    </w:p>
    <w:p w14:paraId="39822F63" w14:textId="77777777" w:rsidR="00B45E88" w:rsidRDefault="00B45E88" w:rsidP="0075426D">
      <w:pPr>
        <w:pStyle w:val="Default"/>
        <w:spacing w:after="416" w:line="360" w:lineRule="auto"/>
        <w:jc w:val="both"/>
        <w:rPr>
          <w:sz w:val="23"/>
          <w:szCs w:val="23"/>
        </w:rPr>
      </w:pPr>
      <w:r>
        <w:rPr>
          <w:sz w:val="23"/>
          <w:szCs w:val="23"/>
        </w:rPr>
        <w:t xml:space="preserve">2.2.4.2.1. in respect of which an agreement has been entered into in accordance with section 167 or 204 of the </w:t>
      </w:r>
      <w:proofErr w:type="gramStart"/>
      <w:r>
        <w:rPr>
          <w:sz w:val="23"/>
          <w:szCs w:val="23"/>
        </w:rPr>
        <w:t>TAA;</w:t>
      </w:r>
      <w:proofErr w:type="gramEnd"/>
      <w:r>
        <w:rPr>
          <w:sz w:val="23"/>
          <w:szCs w:val="23"/>
        </w:rPr>
        <w:t xml:space="preserve"> </w:t>
      </w:r>
    </w:p>
    <w:p w14:paraId="5260B502" w14:textId="77777777" w:rsidR="00B45E88" w:rsidRDefault="00B45E88" w:rsidP="0075426D">
      <w:pPr>
        <w:pStyle w:val="Default"/>
        <w:spacing w:after="416" w:line="360" w:lineRule="auto"/>
        <w:jc w:val="both"/>
        <w:rPr>
          <w:sz w:val="23"/>
          <w:szCs w:val="23"/>
        </w:rPr>
      </w:pPr>
      <w:r>
        <w:rPr>
          <w:sz w:val="23"/>
          <w:szCs w:val="23"/>
        </w:rPr>
        <w:t xml:space="preserve">2.2.4.2.2. that has been suspended in terms of section 164 of the TAA; or </w:t>
      </w:r>
    </w:p>
    <w:p w14:paraId="630CE64A" w14:textId="77777777" w:rsidR="00B45E88" w:rsidRDefault="00B45E88" w:rsidP="0075426D">
      <w:pPr>
        <w:pStyle w:val="Default"/>
        <w:spacing w:line="360" w:lineRule="auto"/>
        <w:jc w:val="both"/>
        <w:rPr>
          <w:sz w:val="23"/>
          <w:szCs w:val="23"/>
        </w:rPr>
      </w:pPr>
      <w:r>
        <w:rPr>
          <w:sz w:val="23"/>
          <w:szCs w:val="23"/>
        </w:rPr>
        <w:t xml:space="preserve">2.2.4.2.3. that does not exceed the amount referred to in section 169(4) of the TAA. </w:t>
      </w:r>
    </w:p>
    <w:p w14:paraId="696E6294" w14:textId="77777777" w:rsidR="00B45E88" w:rsidRDefault="00B45E88" w:rsidP="0075426D">
      <w:pPr>
        <w:pStyle w:val="Default"/>
        <w:spacing w:line="360" w:lineRule="auto"/>
        <w:jc w:val="both"/>
        <w:rPr>
          <w:sz w:val="23"/>
          <w:szCs w:val="23"/>
        </w:rPr>
      </w:pPr>
    </w:p>
    <w:p w14:paraId="66FEF0BA" w14:textId="77777777" w:rsidR="00B45E88" w:rsidRDefault="00B45E88" w:rsidP="0075426D">
      <w:pPr>
        <w:pStyle w:val="Default"/>
        <w:spacing w:line="360" w:lineRule="auto"/>
        <w:jc w:val="both"/>
        <w:rPr>
          <w:sz w:val="23"/>
          <w:szCs w:val="23"/>
        </w:rPr>
      </w:pPr>
      <w:r>
        <w:rPr>
          <w:sz w:val="23"/>
          <w:szCs w:val="23"/>
        </w:rPr>
        <w:t>2.2.5. However, penalties and interest will apply if the employer has understated the PAYE liability for any of the four months or if it is discovered that the employer does not qualify for relief under this clause. The usual procedures for requests for remittance of such penalties will be available in such cases.</w:t>
      </w:r>
    </w:p>
    <w:p w14:paraId="4AC8B5FC" w14:textId="5CB6AC5A" w:rsidR="00B45E88" w:rsidRDefault="00B45E88" w:rsidP="0075426D">
      <w:pPr>
        <w:pStyle w:val="Default"/>
        <w:spacing w:line="360" w:lineRule="auto"/>
        <w:jc w:val="both"/>
        <w:rPr>
          <w:sz w:val="23"/>
          <w:szCs w:val="23"/>
        </w:rPr>
      </w:pPr>
      <w:r>
        <w:rPr>
          <w:sz w:val="23"/>
          <w:szCs w:val="23"/>
        </w:rPr>
        <w:t xml:space="preserve"> </w:t>
      </w:r>
    </w:p>
    <w:p w14:paraId="10FA7145" w14:textId="77777777" w:rsidR="00B45E88" w:rsidRDefault="00B45E88" w:rsidP="0075426D">
      <w:pPr>
        <w:pStyle w:val="Default"/>
        <w:spacing w:line="360" w:lineRule="auto"/>
        <w:jc w:val="both"/>
        <w:rPr>
          <w:sz w:val="23"/>
          <w:szCs w:val="23"/>
        </w:rPr>
      </w:pPr>
      <w:r>
        <w:rPr>
          <w:sz w:val="23"/>
          <w:szCs w:val="23"/>
        </w:rPr>
        <w:t xml:space="preserve">2.2.6. </w:t>
      </w:r>
      <w:r>
        <w:rPr>
          <w:b/>
          <w:bCs/>
          <w:sz w:val="23"/>
          <w:szCs w:val="23"/>
        </w:rPr>
        <w:t xml:space="preserve">Example </w:t>
      </w:r>
    </w:p>
    <w:p w14:paraId="6A44FC0D" w14:textId="77777777" w:rsidR="00B45E88" w:rsidRDefault="00B45E88" w:rsidP="0075426D">
      <w:pPr>
        <w:pStyle w:val="Default"/>
        <w:spacing w:line="360" w:lineRule="auto"/>
        <w:jc w:val="both"/>
        <w:rPr>
          <w:sz w:val="23"/>
          <w:szCs w:val="23"/>
        </w:rPr>
      </w:pPr>
    </w:p>
    <w:p w14:paraId="328AFB02" w14:textId="73865EB4" w:rsidR="00406880" w:rsidRDefault="00B45E88" w:rsidP="0075426D">
      <w:pPr>
        <w:pStyle w:val="Default"/>
        <w:spacing w:line="360" w:lineRule="auto"/>
        <w:jc w:val="both"/>
        <w:rPr>
          <w:sz w:val="23"/>
          <w:szCs w:val="23"/>
        </w:rPr>
      </w:pPr>
      <w:r>
        <w:rPr>
          <w:sz w:val="23"/>
          <w:szCs w:val="23"/>
        </w:rPr>
        <w:t>Employer A is a small business which that the gross income and compliance requirements to qualify for deferral of employees’ tax. Its gross PAYE liability for its April to July 2020 payrolls and the effect of the 35% deferral is set out below.</w:t>
      </w:r>
    </w:p>
    <w:p w14:paraId="7E98C670" w14:textId="77777777" w:rsidR="000D412C" w:rsidRPr="000D412C" w:rsidRDefault="000D412C" w:rsidP="0075426D">
      <w:pPr>
        <w:tabs>
          <w:tab w:val="left" w:pos="4580"/>
        </w:tabs>
        <w:spacing w:line="360" w:lineRule="auto"/>
        <w:jc w:val="both"/>
        <w:rPr>
          <w:rFonts w:cs="Arial"/>
          <w:szCs w:val="22"/>
          <w:lang w:val="en-ZA"/>
        </w:rPr>
      </w:pPr>
    </w:p>
    <w:tbl>
      <w:tblPr>
        <w:tblW w:w="0" w:type="auto"/>
        <w:tblInd w:w="1453" w:type="dxa"/>
        <w:tblBorders>
          <w:top w:val="nil"/>
          <w:left w:val="nil"/>
          <w:bottom w:val="nil"/>
          <w:right w:val="nil"/>
        </w:tblBorders>
        <w:tblLayout w:type="fixed"/>
        <w:tblLook w:val="0000" w:firstRow="0" w:lastRow="0" w:firstColumn="0" w:lastColumn="0" w:noHBand="0" w:noVBand="0"/>
      </w:tblPr>
      <w:tblGrid>
        <w:gridCol w:w="1322"/>
        <w:gridCol w:w="1322"/>
        <w:gridCol w:w="662"/>
        <w:gridCol w:w="660"/>
        <w:gridCol w:w="1322"/>
        <w:gridCol w:w="1324"/>
      </w:tblGrid>
      <w:tr w:rsidR="00203D76" w:rsidRPr="00203D76" w14:paraId="20F7BD83" w14:textId="77777777" w:rsidTr="0075426D">
        <w:tblPrEx>
          <w:tblCellMar>
            <w:top w:w="0" w:type="dxa"/>
            <w:bottom w:w="0" w:type="dxa"/>
          </w:tblCellMar>
        </w:tblPrEx>
        <w:trPr>
          <w:trHeight w:val="94"/>
        </w:trPr>
        <w:tc>
          <w:tcPr>
            <w:tcW w:w="1322" w:type="dxa"/>
          </w:tcPr>
          <w:p w14:paraId="690036C8" w14:textId="77777777" w:rsidR="00203D76" w:rsidRPr="00203D76" w:rsidRDefault="00203D76" w:rsidP="0075426D">
            <w:pPr>
              <w:autoSpaceDE w:val="0"/>
              <w:autoSpaceDN w:val="0"/>
              <w:adjustRightInd w:val="0"/>
              <w:spacing w:line="360" w:lineRule="auto"/>
              <w:jc w:val="both"/>
              <w:rPr>
                <w:rFonts w:cs="Arial"/>
                <w:color w:val="000000"/>
                <w:sz w:val="20"/>
                <w:szCs w:val="20"/>
                <w:lang w:val="en-ZA" w:eastAsia="en-GB"/>
              </w:rPr>
            </w:pPr>
            <w:r w:rsidRPr="00203D76">
              <w:rPr>
                <w:rFonts w:cs="Arial"/>
                <w:color w:val="000000"/>
                <w:sz w:val="20"/>
                <w:szCs w:val="20"/>
                <w:lang w:val="en-ZA" w:eastAsia="en-GB"/>
              </w:rPr>
              <w:lastRenderedPageBreak/>
              <w:t xml:space="preserve">Payroll </w:t>
            </w:r>
          </w:p>
        </w:tc>
        <w:tc>
          <w:tcPr>
            <w:tcW w:w="1322" w:type="dxa"/>
          </w:tcPr>
          <w:p w14:paraId="48427391" w14:textId="77777777" w:rsidR="00203D76" w:rsidRPr="00203D76" w:rsidRDefault="00203D76" w:rsidP="0075426D">
            <w:pPr>
              <w:autoSpaceDE w:val="0"/>
              <w:autoSpaceDN w:val="0"/>
              <w:adjustRightInd w:val="0"/>
              <w:spacing w:line="360" w:lineRule="auto"/>
              <w:jc w:val="both"/>
              <w:rPr>
                <w:rFonts w:cs="Arial"/>
                <w:color w:val="000000"/>
                <w:sz w:val="20"/>
                <w:szCs w:val="20"/>
                <w:lang w:val="en-ZA" w:eastAsia="en-GB"/>
              </w:rPr>
            </w:pPr>
            <w:r w:rsidRPr="00203D76">
              <w:rPr>
                <w:rFonts w:cs="Arial"/>
                <w:color w:val="000000"/>
                <w:sz w:val="20"/>
                <w:szCs w:val="20"/>
                <w:lang w:val="en-ZA" w:eastAsia="en-GB"/>
              </w:rPr>
              <w:t xml:space="preserve">Gross liability </w:t>
            </w:r>
          </w:p>
        </w:tc>
        <w:tc>
          <w:tcPr>
            <w:tcW w:w="1322" w:type="dxa"/>
            <w:gridSpan w:val="2"/>
          </w:tcPr>
          <w:p w14:paraId="38586482" w14:textId="77777777" w:rsidR="00203D76" w:rsidRPr="00203D76" w:rsidRDefault="00203D76" w:rsidP="0075426D">
            <w:pPr>
              <w:autoSpaceDE w:val="0"/>
              <w:autoSpaceDN w:val="0"/>
              <w:adjustRightInd w:val="0"/>
              <w:spacing w:line="360" w:lineRule="auto"/>
              <w:jc w:val="both"/>
              <w:rPr>
                <w:rFonts w:cs="Arial"/>
                <w:color w:val="000000"/>
                <w:sz w:val="20"/>
                <w:szCs w:val="20"/>
                <w:lang w:val="en-ZA" w:eastAsia="en-GB"/>
              </w:rPr>
            </w:pPr>
            <w:r w:rsidRPr="00203D76">
              <w:rPr>
                <w:rFonts w:cs="Arial"/>
                <w:color w:val="000000"/>
                <w:sz w:val="20"/>
                <w:szCs w:val="20"/>
                <w:lang w:val="en-ZA" w:eastAsia="en-GB"/>
              </w:rPr>
              <w:t xml:space="preserve">35% deferral </w:t>
            </w:r>
          </w:p>
        </w:tc>
        <w:tc>
          <w:tcPr>
            <w:tcW w:w="1322" w:type="dxa"/>
          </w:tcPr>
          <w:p w14:paraId="3214991B" w14:textId="77777777" w:rsidR="00203D76" w:rsidRPr="00203D76" w:rsidRDefault="00203D76" w:rsidP="0075426D">
            <w:pPr>
              <w:autoSpaceDE w:val="0"/>
              <w:autoSpaceDN w:val="0"/>
              <w:adjustRightInd w:val="0"/>
              <w:spacing w:line="360" w:lineRule="auto"/>
              <w:jc w:val="both"/>
              <w:rPr>
                <w:rFonts w:cs="Arial"/>
                <w:color w:val="000000"/>
                <w:sz w:val="20"/>
                <w:szCs w:val="20"/>
                <w:lang w:val="en-ZA" w:eastAsia="en-GB"/>
              </w:rPr>
            </w:pPr>
            <w:r w:rsidRPr="00203D76">
              <w:rPr>
                <w:rFonts w:cs="Arial"/>
                <w:color w:val="000000"/>
                <w:sz w:val="20"/>
                <w:szCs w:val="20"/>
                <w:lang w:val="en-ZA" w:eastAsia="en-GB"/>
              </w:rPr>
              <w:t xml:space="preserve">65% Payable </w:t>
            </w:r>
          </w:p>
        </w:tc>
        <w:tc>
          <w:tcPr>
            <w:tcW w:w="1324" w:type="dxa"/>
          </w:tcPr>
          <w:p w14:paraId="5B427E65" w14:textId="77777777" w:rsidR="00203D76" w:rsidRPr="00203D76" w:rsidRDefault="00203D76" w:rsidP="0075426D">
            <w:pPr>
              <w:autoSpaceDE w:val="0"/>
              <w:autoSpaceDN w:val="0"/>
              <w:adjustRightInd w:val="0"/>
              <w:spacing w:line="360" w:lineRule="auto"/>
              <w:jc w:val="both"/>
              <w:rPr>
                <w:rFonts w:cs="Arial"/>
                <w:color w:val="000000"/>
                <w:sz w:val="20"/>
                <w:szCs w:val="20"/>
                <w:lang w:val="en-ZA" w:eastAsia="en-GB"/>
              </w:rPr>
            </w:pPr>
            <w:r w:rsidRPr="00203D76">
              <w:rPr>
                <w:rFonts w:cs="Arial"/>
                <w:color w:val="000000"/>
                <w:sz w:val="20"/>
                <w:szCs w:val="20"/>
                <w:lang w:val="en-ZA" w:eastAsia="en-GB"/>
              </w:rPr>
              <w:t xml:space="preserve">Date due </w:t>
            </w:r>
          </w:p>
        </w:tc>
      </w:tr>
      <w:tr w:rsidR="00203D76" w:rsidRPr="00203D76" w14:paraId="6C4D3D2D" w14:textId="77777777" w:rsidTr="0075426D">
        <w:tblPrEx>
          <w:tblCellMar>
            <w:top w:w="0" w:type="dxa"/>
            <w:bottom w:w="0" w:type="dxa"/>
          </w:tblCellMar>
        </w:tblPrEx>
        <w:trPr>
          <w:trHeight w:val="94"/>
        </w:trPr>
        <w:tc>
          <w:tcPr>
            <w:tcW w:w="1322" w:type="dxa"/>
          </w:tcPr>
          <w:p w14:paraId="5B2E15BE" w14:textId="77777777" w:rsidR="00203D76" w:rsidRPr="00203D76" w:rsidRDefault="00203D76" w:rsidP="0075426D">
            <w:pPr>
              <w:autoSpaceDE w:val="0"/>
              <w:autoSpaceDN w:val="0"/>
              <w:adjustRightInd w:val="0"/>
              <w:spacing w:line="360" w:lineRule="auto"/>
              <w:jc w:val="both"/>
              <w:rPr>
                <w:rFonts w:cs="Arial"/>
                <w:color w:val="000000"/>
                <w:sz w:val="20"/>
                <w:szCs w:val="20"/>
                <w:lang w:val="en-ZA" w:eastAsia="en-GB"/>
              </w:rPr>
            </w:pPr>
            <w:r w:rsidRPr="00203D76">
              <w:rPr>
                <w:rFonts w:cs="Arial"/>
                <w:color w:val="000000"/>
                <w:sz w:val="20"/>
                <w:szCs w:val="20"/>
                <w:lang w:val="en-ZA" w:eastAsia="en-GB"/>
              </w:rPr>
              <w:t xml:space="preserve">April </w:t>
            </w:r>
          </w:p>
        </w:tc>
        <w:tc>
          <w:tcPr>
            <w:tcW w:w="1322" w:type="dxa"/>
          </w:tcPr>
          <w:p w14:paraId="1204FAFC" w14:textId="77777777" w:rsidR="00203D76" w:rsidRPr="00203D76" w:rsidRDefault="00203D76" w:rsidP="0075426D">
            <w:pPr>
              <w:autoSpaceDE w:val="0"/>
              <w:autoSpaceDN w:val="0"/>
              <w:adjustRightInd w:val="0"/>
              <w:spacing w:line="360" w:lineRule="auto"/>
              <w:jc w:val="both"/>
              <w:rPr>
                <w:rFonts w:cs="Arial"/>
                <w:color w:val="000000"/>
                <w:sz w:val="20"/>
                <w:szCs w:val="20"/>
                <w:lang w:val="en-ZA" w:eastAsia="en-GB"/>
              </w:rPr>
            </w:pPr>
            <w:r w:rsidRPr="00203D76">
              <w:rPr>
                <w:rFonts w:cs="Arial"/>
                <w:color w:val="000000"/>
                <w:sz w:val="20"/>
                <w:szCs w:val="20"/>
                <w:lang w:val="en-ZA" w:eastAsia="en-GB"/>
              </w:rPr>
              <w:t xml:space="preserve">150 000 </w:t>
            </w:r>
          </w:p>
        </w:tc>
        <w:tc>
          <w:tcPr>
            <w:tcW w:w="1322" w:type="dxa"/>
            <w:gridSpan w:val="2"/>
          </w:tcPr>
          <w:p w14:paraId="641D4AAB" w14:textId="77777777" w:rsidR="00203D76" w:rsidRPr="00203D76" w:rsidRDefault="00203D76" w:rsidP="0075426D">
            <w:pPr>
              <w:autoSpaceDE w:val="0"/>
              <w:autoSpaceDN w:val="0"/>
              <w:adjustRightInd w:val="0"/>
              <w:spacing w:line="360" w:lineRule="auto"/>
              <w:jc w:val="both"/>
              <w:rPr>
                <w:rFonts w:cs="Arial"/>
                <w:color w:val="000000"/>
                <w:sz w:val="20"/>
                <w:szCs w:val="20"/>
                <w:lang w:val="en-ZA" w:eastAsia="en-GB"/>
              </w:rPr>
            </w:pPr>
            <w:r w:rsidRPr="00203D76">
              <w:rPr>
                <w:rFonts w:cs="Arial"/>
                <w:color w:val="000000"/>
                <w:sz w:val="20"/>
                <w:szCs w:val="20"/>
                <w:lang w:val="en-ZA" w:eastAsia="en-GB"/>
              </w:rPr>
              <w:t xml:space="preserve">52 500 </w:t>
            </w:r>
          </w:p>
        </w:tc>
        <w:tc>
          <w:tcPr>
            <w:tcW w:w="1322" w:type="dxa"/>
          </w:tcPr>
          <w:p w14:paraId="52C67A01" w14:textId="77777777" w:rsidR="00203D76" w:rsidRPr="00203D76" w:rsidRDefault="00203D76" w:rsidP="0075426D">
            <w:pPr>
              <w:autoSpaceDE w:val="0"/>
              <w:autoSpaceDN w:val="0"/>
              <w:adjustRightInd w:val="0"/>
              <w:spacing w:line="360" w:lineRule="auto"/>
              <w:jc w:val="both"/>
              <w:rPr>
                <w:rFonts w:cs="Arial"/>
                <w:color w:val="000000"/>
                <w:sz w:val="20"/>
                <w:szCs w:val="20"/>
                <w:lang w:val="en-ZA" w:eastAsia="en-GB"/>
              </w:rPr>
            </w:pPr>
            <w:r w:rsidRPr="00203D76">
              <w:rPr>
                <w:rFonts w:cs="Arial"/>
                <w:color w:val="000000"/>
                <w:sz w:val="20"/>
                <w:szCs w:val="20"/>
                <w:lang w:val="en-ZA" w:eastAsia="en-GB"/>
              </w:rPr>
              <w:t xml:space="preserve">97 500 </w:t>
            </w:r>
          </w:p>
        </w:tc>
        <w:tc>
          <w:tcPr>
            <w:tcW w:w="1324" w:type="dxa"/>
          </w:tcPr>
          <w:p w14:paraId="23436A2E" w14:textId="77777777" w:rsidR="00203D76" w:rsidRPr="00203D76" w:rsidRDefault="00203D76" w:rsidP="0075426D">
            <w:pPr>
              <w:autoSpaceDE w:val="0"/>
              <w:autoSpaceDN w:val="0"/>
              <w:adjustRightInd w:val="0"/>
              <w:spacing w:line="360" w:lineRule="auto"/>
              <w:jc w:val="both"/>
              <w:rPr>
                <w:rFonts w:cs="Arial"/>
                <w:color w:val="000000"/>
                <w:sz w:val="20"/>
                <w:szCs w:val="20"/>
                <w:lang w:val="en-ZA" w:eastAsia="en-GB"/>
              </w:rPr>
            </w:pPr>
            <w:r w:rsidRPr="00203D76">
              <w:rPr>
                <w:rFonts w:cs="Arial"/>
                <w:color w:val="000000"/>
                <w:sz w:val="20"/>
                <w:szCs w:val="20"/>
                <w:lang w:val="en-ZA" w:eastAsia="en-GB"/>
              </w:rPr>
              <w:t xml:space="preserve">7 May </w:t>
            </w:r>
          </w:p>
        </w:tc>
      </w:tr>
      <w:tr w:rsidR="00203D76" w:rsidRPr="00203D76" w14:paraId="4D0CF695" w14:textId="77777777" w:rsidTr="0075426D">
        <w:tblPrEx>
          <w:tblCellMar>
            <w:top w:w="0" w:type="dxa"/>
            <w:bottom w:w="0" w:type="dxa"/>
          </w:tblCellMar>
        </w:tblPrEx>
        <w:trPr>
          <w:trHeight w:val="94"/>
        </w:trPr>
        <w:tc>
          <w:tcPr>
            <w:tcW w:w="1322" w:type="dxa"/>
          </w:tcPr>
          <w:p w14:paraId="6A30D8B6" w14:textId="77777777" w:rsidR="00203D76" w:rsidRPr="00203D76" w:rsidRDefault="00203D76" w:rsidP="0075426D">
            <w:pPr>
              <w:autoSpaceDE w:val="0"/>
              <w:autoSpaceDN w:val="0"/>
              <w:adjustRightInd w:val="0"/>
              <w:spacing w:line="360" w:lineRule="auto"/>
              <w:jc w:val="both"/>
              <w:rPr>
                <w:rFonts w:cs="Arial"/>
                <w:color w:val="000000"/>
                <w:sz w:val="20"/>
                <w:szCs w:val="20"/>
                <w:lang w:val="en-ZA" w:eastAsia="en-GB"/>
              </w:rPr>
            </w:pPr>
            <w:r w:rsidRPr="00203D76">
              <w:rPr>
                <w:rFonts w:cs="Arial"/>
                <w:color w:val="000000"/>
                <w:sz w:val="20"/>
                <w:szCs w:val="20"/>
                <w:lang w:val="en-ZA" w:eastAsia="en-GB"/>
              </w:rPr>
              <w:t xml:space="preserve">May </w:t>
            </w:r>
          </w:p>
        </w:tc>
        <w:tc>
          <w:tcPr>
            <w:tcW w:w="1322" w:type="dxa"/>
          </w:tcPr>
          <w:p w14:paraId="6EF6B793" w14:textId="77777777" w:rsidR="00203D76" w:rsidRPr="00203D76" w:rsidRDefault="00203D76" w:rsidP="0075426D">
            <w:pPr>
              <w:autoSpaceDE w:val="0"/>
              <w:autoSpaceDN w:val="0"/>
              <w:adjustRightInd w:val="0"/>
              <w:spacing w:line="360" w:lineRule="auto"/>
              <w:jc w:val="both"/>
              <w:rPr>
                <w:rFonts w:cs="Arial"/>
                <w:color w:val="000000"/>
                <w:sz w:val="20"/>
                <w:szCs w:val="20"/>
                <w:lang w:val="en-ZA" w:eastAsia="en-GB"/>
              </w:rPr>
            </w:pPr>
            <w:r w:rsidRPr="00203D76">
              <w:rPr>
                <w:rFonts w:cs="Arial"/>
                <w:color w:val="000000"/>
                <w:sz w:val="20"/>
                <w:szCs w:val="20"/>
                <w:lang w:val="en-ZA" w:eastAsia="en-GB"/>
              </w:rPr>
              <w:t xml:space="preserve">145 000 </w:t>
            </w:r>
          </w:p>
        </w:tc>
        <w:tc>
          <w:tcPr>
            <w:tcW w:w="1322" w:type="dxa"/>
            <w:gridSpan w:val="2"/>
          </w:tcPr>
          <w:p w14:paraId="09ED6D1B" w14:textId="77777777" w:rsidR="00203D76" w:rsidRPr="00203D76" w:rsidRDefault="00203D76" w:rsidP="0075426D">
            <w:pPr>
              <w:autoSpaceDE w:val="0"/>
              <w:autoSpaceDN w:val="0"/>
              <w:adjustRightInd w:val="0"/>
              <w:spacing w:line="360" w:lineRule="auto"/>
              <w:jc w:val="both"/>
              <w:rPr>
                <w:rFonts w:cs="Arial"/>
                <w:color w:val="000000"/>
                <w:sz w:val="20"/>
                <w:szCs w:val="20"/>
                <w:lang w:val="en-ZA" w:eastAsia="en-GB"/>
              </w:rPr>
            </w:pPr>
            <w:r w:rsidRPr="00203D76">
              <w:rPr>
                <w:rFonts w:cs="Arial"/>
                <w:color w:val="000000"/>
                <w:sz w:val="20"/>
                <w:szCs w:val="20"/>
                <w:lang w:val="en-ZA" w:eastAsia="en-GB"/>
              </w:rPr>
              <w:t xml:space="preserve">50 750 </w:t>
            </w:r>
          </w:p>
        </w:tc>
        <w:tc>
          <w:tcPr>
            <w:tcW w:w="1322" w:type="dxa"/>
          </w:tcPr>
          <w:p w14:paraId="747F4B18" w14:textId="77777777" w:rsidR="00203D76" w:rsidRPr="00203D76" w:rsidRDefault="00203D76" w:rsidP="0075426D">
            <w:pPr>
              <w:autoSpaceDE w:val="0"/>
              <w:autoSpaceDN w:val="0"/>
              <w:adjustRightInd w:val="0"/>
              <w:spacing w:line="360" w:lineRule="auto"/>
              <w:jc w:val="both"/>
              <w:rPr>
                <w:rFonts w:cs="Arial"/>
                <w:color w:val="000000"/>
                <w:sz w:val="20"/>
                <w:szCs w:val="20"/>
                <w:lang w:val="en-ZA" w:eastAsia="en-GB"/>
              </w:rPr>
            </w:pPr>
            <w:r w:rsidRPr="00203D76">
              <w:rPr>
                <w:rFonts w:cs="Arial"/>
                <w:color w:val="000000"/>
                <w:sz w:val="20"/>
                <w:szCs w:val="20"/>
                <w:lang w:val="en-ZA" w:eastAsia="en-GB"/>
              </w:rPr>
              <w:t xml:space="preserve">116 000 </w:t>
            </w:r>
          </w:p>
        </w:tc>
        <w:tc>
          <w:tcPr>
            <w:tcW w:w="1324" w:type="dxa"/>
          </w:tcPr>
          <w:p w14:paraId="5270D0F4" w14:textId="77777777" w:rsidR="00203D76" w:rsidRPr="00203D76" w:rsidRDefault="00203D76" w:rsidP="0075426D">
            <w:pPr>
              <w:autoSpaceDE w:val="0"/>
              <w:autoSpaceDN w:val="0"/>
              <w:adjustRightInd w:val="0"/>
              <w:spacing w:line="360" w:lineRule="auto"/>
              <w:jc w:val="both"/>
              <w:rPr>
                <w:rFonts w:cs="Arial"/>
                <w:color w:val="000000"/>
                <w:sz w:val="20"/>
                <w:szCs w:val="20"/>
                <w:lang w:val="en-ZA" w:eastAsia="en-GB"/>
              </w:rPr>
            </w:pPr>
            <w:r w:rsidRPr="00203D76">
              <w:rPr>
                <w:rFonts w:cs="Arial"/>
                <w:color w:val="000000"/>
                <w:sz w:val="20"/>
                <w:szCs w:val="20"/>
                <w:lang w:val="en-ZA" w:eastAsia="en-GB"/>
              </w:rPr>
              <w:t xml:space="preserve">5 June </w:t>
            </w:r>
          </w:p>
        </w:tc>
      </w:tr>
      <w:tr w:rsidR="00203D76" w:rsidRPr="00203D76" w14:paraId="634B6660" w14:textId="77777777" w:rsidTr="0075426D">
        <w:tblPrEx>
          <w:tblCellMar>
            <w:top w:w="0" w:type="dxa"/>
            <w:bottom w:w="0" w:type="dxa"/>
          </w:tblCellMar>
        </w:tblPrEx>
        <w:trPr>
          <w:trHeight w:val="94"/>
        </w:trPr>
        <w:tc>
          <w:tcPr>
            <w:tcW w:w="1322" w:type="dxa"/>
          </w:tcPr>
          <w:p w14:paraId="055C9916" w14:textId="77777777" w:rsidR="00203D76" w:rsidRPr="00203D76" w:rsidRDefault="00203D76" w:rsidP="0075426D">
            <w:pPr>
              <w:autoSpaceDE w:val="0"/>
              <w:autoSpaceDN w:val="0"/>
              <w:adjustRightInd w:val="0"/>
              <w:spacing w:line="360" w:lineRule="auto"/>
              <w:jc w:val="both"/>
              <w:rPr>
                <w:rFonts w:cs="Arial"/>
                <w:color w:val="000000"/>
                <w:sz w:val="20"/>
                <w:szCs w:val="20"/>
                <w:lang w:val="en-ZA" w:eastAsia="en-GB"/>
              </w:rPr>
            </w:pPr>
            <w:r w:rsidRPr="00203D76">
              <w:rPr>
                <w:rFonts w:cs="Arial"/>
                <w:color w:val="000000"/>
                <w:sz w:val="20"/>
                <w:szCs w:val="20"/>
                <w:lang w:val="en-ZA" w:eastAsia="en-GB"/>
              </w:rPr>
              <w:t xml:space="preserve">June </w:t>
            </w:r>
          </w:p>
        </w:tc>
        <w:tc>
          <w:tcPr>
            <w:tcW w:w="1322" w:type="dxa"/>
          </w:tcPr>
          <w:p w14:paraId="4C698422" w14:textId="77777777" w:rsidR="00203D76" w:rsidRPr="00203D76" w:rsidRDefault="00203D76" w:rsidP="0075426D">
            <w:pPr>
              <w:autoSpaceDE w:val="0"/>
              <w:autoSpaceDN w:val="0"/>
              <w:adjustRightInd w:val="0"/>
              <w:spacing w:line="360" w:lineRule="auto"/>
              <w:jc w:val="both"/>
              <w:rPr>
                <w:rFonts w:cs="Arial"/>
                <w:color w:val="000000"/>
                <w:sz w:val="20"/>
                <w:szCs w:val="20"/>
                <w:lang w:val="en-ZA" w:eastAsia="en-GB"/>
              </w:rPr>
            </w:pPr>
            <w:r w:rsidRPr="00203D76">
              <w:rPr>
                <w:rFonts w:cs="Arial"/>
                <w:color w:val="000000"/>
                <w:sz w:val="20"/>
                <w:szCs w:val="20"/>
                <w:lang w:val="en-ZA" w:eastAsia="en-GB"/>
              </w:rPr>
              <w:t xml:space="preserve">155 000 </w:t>
            </w:r>
          </w:p>
        </w:tc>
        <w:tc>
          <w:tcPr>
            <w:tcW w:w="1322" w:type="dxa"/>
            <w:gridSpan w:val="2"/>
          </w:tcPr>
          <w:p w14:paraId="06FEED76" w14:textId="77777777" w:rsidR="00203D76" w:rsidRPr="00203D76" w:rsidRDefault="00203D76" w:rsidP="0075426D">
            <w:pPr>
              <w:autoSpaceDE w:val="0"/>
              <w:autoSpaceDN w:val="0"/>
              <w:adjustRightInd w:val="0"/>
              <w:spacing w:line="360" w:lineRule="auto"/>
              <w:jc w:val="both"/>
              <w:rPr>
                <w:rFonts w:cs="Arial"/>
                <w:color w:val="000000"/>
                <w:sz w:val="20"/>
                <w:szCs w:val="20"/>
                <w:lang w:val="en-ZA" w:eastAsia="en-GB"/>
              </w:rPr>
            </w:pPr>
            <w:r w:rsidRPr="00203D76">
              <w:rPr>
                <w:rFonts w:cs="Arial"/>
                <w:color w:val="000000"/>
                <w:sz w:val="20"/>
                <w:szCs w:val="20"/>
                <w:lang w:val="en-ZA" w:eastAsia="en-GB"/>
              </w:rPr>
              <w:t xml:space="preserve">54 250 </w:t>
            </w:r>
          </w:p>
        </w:tc>
        <w:tc>
          <w:tcPr>
            <w:tcW w:w="1322" w:type="dxa"/>
          </w:tcPr>
          <w:p w14:paraId="7CE88AED" w14:textId="77777777" w:rsidR="00203D76" w:rsidRPr="00203D76" w:rsidRDefault="00203D76" w:rsidP="0075426D">
            <w:pPr>
              <w:autoSpaceDE w:val="0"/>
              <w:autoSpaceDN w:val="0"/>
              <w:adjustRightInd w:val="0"/>
              <w:spacing w:line="360" w:lineRule="auto"/>
              <w:jc w:val="both"/>
              <w:rPr>
                <w:rFonts w:cs="Arial"/>
                <w:color w:val="000000"/>
                <w:sz w:val="20"/>
                <w:szCs w:val="20"/>
                <w:lang w:val="en-ZA" w:eastAsia="en-GB"/>
              </w:rPr>
            </w:pPr>
            <w:r w:rsidRPr="00203D76">
              <w:rPr>
                <w:rFonts w:cs="Arial"/>
                <w:color w:val="000000"/>
                <w:sz w:val="20"/>
                <w:szCs w:val="20"/>
                <w:lang w:val="en-ZA" w:eastAsia="en-GB"/>
              </w:rPr>
              <w:t xml:space="preserve">100 750 </w:t>
            </w:r>
          </w:p>
        </w:tc>
        <w:tc>
          <w:tcPr>
            <w:tcW w:w="1324" w:type="dxa"/>
          </w:tcPr>
          <w:p w14:paraId="002695BF" w14:textId="77777777" w:rsidR="00203D76" w:rsidRPr="00203D76" w:rsidRDefault="00203D76" w:rsidP="0075426D">
            <w:pPr>
              <w:autoSpaceDE w:val="0"/>
              <w:autoSpaceDN w:val="0"/>
              <w:adjustRightInd w:val="0"/>
              <w:spacing w:line="360" w:lineRule="auto"/>
              <w:jc w:val="both"/>
              <w:rPr>
                <w:rFonts w:cs="Arial"/>
                <w:color w:val="000000"/>
                <w:sz w:val="20"/>
                <w:szCs w:val="20"/>
                <w:lang w:val="en-ZA" w:eastAsia="en-GB"/>
              </w:rPr>
            </w:pPr>
            <w:r w:rsidRPr="00203D76">
              <w:rPr>
                <w:rFonts w:cs="Arial"/>
                <w:color w:val="000000"/>
                <w:sz w:val="20"/>
                <w:szCs w:val="20"/>
                <w:lang w:val="en-ZA" w:eastAsia="en-GB"/>
              </w:rPr>
              <w:t xml:space="preserve">7 July </w:t>
            </w:r>
          </w:p>
        </w:tc>
      </w:tr>
      <w:tr w:rsidR="00203D76" w:rsidRPr="00203D76" w14:paraId="683053DF" w14:textId="77777777" w:rsidTr="0075426D">
        <w:tblPrEx>
          <w:tblCellMar>
            <w:top w:w="0" w:type="dxa"/>
            <w:bottom w:w="0" w:type="dxa"/>
          </w:tblCellMar>
        </w:tblPrEx>
        <w:trPr>
          <w:trHeight w:val="94"/>
        </w:trPr>
        <w:tc>
          <w:tcPr>
            <w:tcW w:w="1322" w:type="dxa"/>
          </w:tcPr>
          <w:p w14:paraId="5EA34E3C" w14:textId="77777777" w:rsidR="00203D76" w:rsidRPr="00203D76" w:rsidRDefault="00203D76" w:rsidP="0075426D">
            <w:pPr>
              <w:autoSpaceDE w:val="0"/>
              <w:autoSpaceDN w:val="0"/>
              <w:adjustRightInd w:val="0"/>
              <w:spacing w:line="360" w:lineRule="auto"/>
              <w:jc w:val="both"/>
              <w:rPr>
                <w:rFonts w:cs="Arial"/>
                <w:color w:val="000000"/>
                <w:sz w:val="20"/>
                <w:szCs w:val="20"/>
                <w:lang w:val="en-ZA" w:eastAsia="en-GB"/>
              </w:rPr>
            </w:pPr>
            <w:r w:rsidRPr="00203D76">
              <w:rPr>
                <w:rFonts w:cs="Arial"/>
                <w:color w:val="000000"/>
                <w:sz w:val="20"/>
                <w:szCs w:val="20"/>
                <w:lang w:val="en-ZA" w:eastAsia="en-GB"/>
              </w:rPr>
              <w:t xml:space="preserve">July </w:t>
            </w:r>
          </w:p>
        </w:tc>
        <w:tc>
          <w:tcPr>
            <w:tcW w:w="1322" w:type="dxa"/>
          </w:tcPr>
          <w:p w14:paraId="39FD4876" w14:textId="77777777" w:rsidR="00203D76" w:rsidRPr="00203D76" w:rsidRDefault="00203D76" w:rsidP="0075426D">
            <w:pPr>
              <w:autoSpaceDE w:val="0"/>
              <w:autoSpaceDN w:val="0"/>
              <w:adjustRightInd w:val="0"/>
              <w:spacing w:line="360" w:lineRule="auto"/>
              <w:jc w:val="both"/>
              <w:rPr>
                <w:rFonts w:cs="Arial"/>
                <w:color w:val="000000"/>
                <w:sz w:val="20"/>
                <w:szCs w:val="20"/>
                <w:lang w:val="en-ZA" w:eastAsia="en-GB"/>
              </w:rPr>
            </w:pPr>
            <w:r w:rsidRPr="00203D76">
              <w:rPr>
                <w:rFonts w:cs="Arial"/>
                <w:color w:val="000000"/>
                <w:sz w:val="20"/>
                <w:szCs w:val="20"/>
                <w:lang w:val="en-ZA" w:eastAsia="en-GB"/>
              </w:rPr>
              <w:t xml:space="preserve">150 000 </w:t>
            </w:r>
          </w:p>
        </w:tc>
        <w:tc>
          <w:tcPr>
            <w:tcW w:w="1322" w:type="dxa"/>
            <w:gridSpan w:val="2"/>
          </w:tcPr>
          <w:p w14:paraId="44D1A997" w14:textId="77777777" w:rsidR="00203D76" w:rsidRPr="00203D76" w:rsidRDefault="00203D76" w:rsidP="0075426D">
            <w:pPr>
              <w:autoSpaceDE w:val="0"/>
              <w:autoSpaceDN w:val="0"/>
              <w:adjustRightInd w:val="0"/>
              <w:spacing w:line="360" w:lineRule="auto"/>
              <w:jc w:val="both"/>
              <w:rPr>
                <w:rFonts w:cs="Arial"/>
                <w:color w:val="000000"/>
                <w:sz w:val="20"/>
                <w:szCs w:val="20"/>
                <w:lang w:val="en-ZA" w:eastAsia="en-GB"/>
              </w:rPr>
            </w:pPr>
            <w:r w:rsidRPr="00203D76">
              <w:rPr>
                <w:rFonts w:cs="Arial"/>
                <w:color w:val="000000"/>
                <w:sz w:val="20"/>
                <w:szCs w:val="20"/>
                <w:lang w:val="en-ZA" w:eastAsia="en-GB"/>
              </w:rPr>
              <w:t xml:space="preserve">52 500 </w:t>
            </w:r>
          </w:p>
        </w:tc>
        <w:tc>
          <w:tcPr>
            <w:tcW w:w="1322" w:type="dxa"/>
          </w:tcPr>
          <w:p w14:paraId="3A63CDB6" w14:textId="77777777" w:rsidR="00203D76" w:rsidRPr="00203D76" w:rsidRDefault="00203D76" w:rsidP="0075426D">
            <w:pPr>
              <w:autoSpaceDE w:val="0"/>
              <w:autoSpaceDN w:val="0"/>
              <w:adjustRightInd w:val="0"/>
              <w:spacing w:line="360" w:lineRule="auto"/>
              <w:jc w:val="both"/>
              <w:rPr>
                <w:rFonts w:cs="Arial"/>
                <w:color w:val="000000"/>
                <w:sz w:val="20"/>
                <w:szCs w:val="20"/>
                <w:lang w:val="en-ZA" w:eastAsia="en-GB"/>
              </w:rPr>
            </w:pPr>
            <w:r w:rsidRPr="00203D76">
              <w:rPr>
                <w:rFonts w:cs="Arial"/>
                <w:color w:val="000000"/>
                <w:sz w:val="20"/>
                <w:szCs w:val="20"/>
                <w:lang w:val="en-ZA" w:eastAsia="en-GB"/>
              </w:rPr>
              <w:t xml:space="preserve">97 500 </w:t>
            </w:r>
          </w:p>
        </w:tc>
        <w:tc>
          <w:tcPr>
            <w:tcW w:w="1324" w:type="dxa"/>
          </w:tcPr>
          <w:p w14:paraId="21D7A060" w14:textId="77777777" w:rsidR="00203D76" w:rsidRPr="00203D76" w:rsidRDefault="00203D76" w:rsidP="0075426D">
            <w:pPr>
              <w:autoSpaceDE w:val="0"/>
              <w:autoSpaceDN w:val="0"/>
              <w:adjustRightInd w:val="0"/>
              <w:spacing w:line="360" w:lineRule="auto"/>
              <w:jc w:val="both"/>
              <w:rPr>
                <w:rFonts w:cs="Arial"/>
                <w:color w:val="000000"/>
                <w:sz w:val="20"/>
                <w:szCs w:val="20"/>
                <w:lang w:val="en-ZA" w:eastAsia="en-GB"/>
              </w:rPr>
            </w:pPr>
            <w:r w:rsidRPr="00203D76">
              <w:rPr>
                <w:rFonts w:cs="Arial"/>
                <w:color w:val="000000"/>
                <w:sz w:val="20"/>
                <w:szCs w:val="20"/>
                <w:lang w:val="en-ZA" w:eastAsia="en-GB"/>
              </w:rPr>
              <w:t xml:space="preserve">7 Aug </w:t>
            </w:r>
          </w:p>
        </w:tc>
      </w:tr>
      <w:tr w:rsidR="00203D76" w:rsidRPr="00203D76" w14:paraId="21360B40" w14:textId="77777777" w:rsidTr="0075426D">
        <w:tblPrEx>
          <w:tblCellMar>
            <w:top w:w="0" w:type="dxa"/>
            <w:bottom w:w="0" w:type="dxa"/>
          </w:tblCellMar>
        </w:tblPrEx>
        <w:trPr>
          <w:trHeight w:val="94"/>
        </w:trPr>
        <w:tc>
          <w:tcPr>
            <w:tcW w:w="3306" w:type="dxa"/>
            <w:gridSpan w:val="3"/>
          </w:tcPr>
          <w:p w14:paraId="210E796A" w14:textId="77777777" w:rsidR="00203D76" w:rsidRPr="00203D76" w:rsidRDefault="00203D76" w:rsidP="0075426D">
            <w:pPr>
              <w:autoSpaceDE w:val="0"/>
              <w:autoSpaceDN w:val="0"/>
              <w:adjustRightInd w:val="0"/>
              <w:spacing w:line="360" w:lineRule="auto"/>
              <w:jc w:val="both"/>
              <w:rPr>
                <w:rFonts w:cs="Arial"/>
                <w:color w:val="000000"/>
                <w:sz w:val="20"/>
                <w:szCs w:val="20"/>
                <w:lang w:val="en-ZA" w:eastAsia="en-GB"/>
              </w:rPr>
            </w:pPr>
            <w:r w:rsidRPr="00203D76">
              <w:rPr>
                <w:rFonts w:cs="Arial"/>
                <w:b/>
                <w:bCs/>
                <w:color w:val="000000"/>
                <w:sz w:val="20"/>
                <w:szCs w:val="20"/>
                <w:lang w:val="en-ZA" w:eastAsia="en-GB"/>
              </w:rPr>
              <w:t xml:space="preserve">Cash flow benefit </w:t>
            </w:r>
          </w:p>
        </w:tc>
        <w:tc>
          <w:tcPr>
            <w:tcW w:w="3306" w:type="dxa"/>
            <w:gridSpan w:val="3"/>
          </w:tcPr>
          <w:p w14:paraId="4354A476" w14:textId="77777777" w:rsidR="00203D76" w:rsidRPr="00203D76" w:rsidRDefault="00203D76" w:rsidP="0075426D">
            <w:pPr>
              <w:autoSpaceDE w:val="0"/>
              <w:autoSpaceDN w:val="0"/>
              <w:adjustRightInd w:val="0"/>
              <w:spacing w:line="360" w:lineRule="auto"/>
              <w:jc w:val="both"/>
              <w:rPr>
                <w:rFonts w:cs="Arial"/>
                <w:color w:val="000000"/>
                <w:sz w:val="20"/>
                <w:szCs w:val="20"/>
                <w:lang w:val="en-ZA" w:eastAsia="en-GB"/>
              </w:rPr>
            </w:pPr>
            <w:r w:rsidRPr="00203D76">
              <w:rPr>
                <w:rFonts w:cs="Arial"/>
                <w:color w:val="000000"/>
                <w:sz w:val="20"/>
                <w:szCs w:val="20"/>
                <w:lang w:val="en-ZA" w:eastAsia="en-GB"/>
              </w:rPr>
              <w:t xml:space="preserve">210 000 </w:t>
            </w:r>
          </w:p>
        </w:tc>
      </w:tr>
    </w:tbl>
    <w:p w14:paraId="3038BF91" w14:textId="77777777" w:rsidR="000D412C" w:rsidRPr="000D412C" w:rsidRDefault="000D412C" w:rsidP="0075426D">
      <w:pPr>
        <w:tabs>
          <w:tab w:val="left" w:pos="4580"/>
        </w:tabs>
        <w:spacing w:line="360" w:lineRule="auto"/>
        <w:jc w:val="both"/>
        <w:rPr>
          <w:rFonts w:cs="Arial"/>
          <w:szCs w:val="22"/>
          <w:lang w:val="en-ZA"/>
        </w:rPr>
      </w:pPr>
    </w:p>
    <w:p w14:paraId="0C19FC04" w14:textId="77777777" w:rsidR="000D412C" w:rsidRPr="000D412C" w:rsidRDefault="000D412C" w:rsidP="0075426D">
      <w:pPr>
        <w:tabs>
          <w:tab w:val="left" w:pos="4580"/>
        </w:tabs>
        <w:spacing w:line="360" w:lineRule="auto"/>
        <w:jc w:val="both"/>
        <w:rPr>
          <w:rFonts w:cs="Arial"/>
          <w:szCs w:val="22"/>
          <w:lang w:val="en-ZA"/>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204"/>
        <w:gridCol w:w="2204"/>
        <w:gridCol w:w="2204"/>
      </w:tblGrid>
      <w:tr w:rsidR="00203D76" w:rsidRPr="00203D76" w14:paraId="4C3780E7" w14:textId="77777777">
        <w:tblPrEx>
          <w:tblCellMar>
            <w:top w:w="0" w:type="dxa"/>
            <w:bottom w:w="0" w:type="dxa"/>
          </w:tblCellMar>
        </w:tblPrEx>
        <w:trPr>
          <w:trHeight w:val="94"/>
        </w:trPr>
        <w:tc>
          <w:tcPr>
            <w:tcW w:w="2204" w:type="dxa"/>
          </w:tcPr>
          <w:p w14:paraId="5947FC5E" w14:textId="77777777" w:rsidR="00203D76" w:rsidRPr="00203D76" w:rsidRDefault="00203D76" w:rsidP="0075426D">
            <w:pPr>
              <w:autoSpaceDE w:val="0"/>
              <w:autoSpaceDN w:val="0"/>
              <w:adjustRightInd w:val="0"/>
              <w:spacing w:line="360" w:lineRule="auto"/>
              <w:jc w:val="both"/>
              <w:rPr>
                <w:rFonts w:cs="Arial"/>
                <w:color w:val="000000"/>
                <w:sz w:val="20"/>
                <w:szCs w:val="20"/>
                <w:lang w:val="en-ZA" w:eastAsia="en-GB"/>
              </w:rPr>
            </w:pPr>
            <w:r w:rsidRPr="00203D76">
              <w:rPr>
                <w:rFonts w:cs="Arial"/>
                <w:color w:val="000000"/>
                <w:sz w:val="23"/>
                <w:szCs w:val="23"/>
                <w:lang w:val="en-ZA" w:eastAsia="en-GB"/>
              </w:rPr>
              <w:t xml:space="preserve">The deferred PAYE liability is payable as follows. </w:t>
            </w:r>
            <w:r w:rsidRPr="00203D76">
              <w:rPr>
                <w:rFonts w:cs="Arial"/>
                <w:color w:val="000000"/>
                <w:sz w:val="20"/>
                <w:szCs w:val="20"/>
                <w:lang w:val="en-ZA" w:eastAsia="en-GB"/>
              </w:rPr>
              <w:t xml:space="preserve">Payroll </w:t>
            </w:r>
          </w:p>
        </w:tc>
        <w:tc>
          <w:tcPr>
            <w:tcW w:w="2204" w:type="dxa"/>
          </w:tcPr>
          <w:p w14:paraId="39A990F8" w14:textId="77777777" w:rsidR="00203D76" w:rsidRPr="00203D76" w:rsidRDefault="00203D76" w:rsidP="0075426D">
            <w:pPr>
              <w:autoSpaceDE w:val="0"/>
              <w:autoSpaceDN w:val="0"/>
              <w:adjustRightInd w:val="0"/>
              <w:spacing w:line="360" w:lineRule="auto"/>
              <w:jc w:val="both"/>
              <w:rPr>
                <w:rFonts w:cs="Arial"/>
                <w:color w:val="000000"/>
                <w:sz w:val="20"/>
                <w:szCs w:val="20"/>
                <w:lang w:val="en-ZA" w:eastAsia="en-GB"/>
              </w:rPr>
            </w:pPr>
            <w:r w:rsidRPr="00203D76">
              <w:rPr>
                <w:rFonts w:cs="Arial"/>
                <w:color w:val="000000"/>
                <w:sz w:val="20"/>
                <w:szCs w:val="20"/>
                <w:lang w:val="en-ZA" w:eastAsia="en-GB"/>
              </w:rPr>
              <w:t xml:space="preserve">Amount payable </w:t>
            </w:r>
          </w:p>
        </w:tc>
        <w:tc>
          <w:tcPr>
            <w:tcW w:w="2204" w:type="dxa"/>
          </w:tcPr>
          <w:p w14:paraId="392B465F" w14:textId="77777777" w:rsidR="00203D76" w:rsidRPr="00203D76" w:rsidRDefault="00203D76" w:rsidP="0075426D">
            <w:pPr>
              <w:autoSpaceDE w:val="0"/>
              <w:autoSpaceDN w:val="0"/>
              <w:adjustRightInd w:val="0"/>
              <w:spacing w:line="360" w:lineRule="auto"/>
              <w:jc w:val="both"/>
              <w:rPr>
                <w:rFonts w:cs="Arial"/>
                <w:color w:val="000000"/>
                <w:sz w:val="20"/>
                <w:szCs w:val="20"/>
                <w:lang w:val="en-ZA" w:eastAsia="en-GB"/>
              </w:rPr>
            </w:pPr>
            <w:r w:rsidRPr="00203D76">
              <w:rPr>
                <w:rFonts w:cs="Arial"/>
                <w:color w:val="000000"/>
                <w:sz w:val="20"/>
                <w:szCs w:val="20"/>
                <w:lang w:val="en-ZA" w:eastAsia="en-GB"/>
              </w:rPr>
              <w:t xml:space="preserve">Date due </w:t>
            </w:r>
          </w:p>
        </w:tc>
      </w:tr>
      <w:tr w:rsidR="00203D76" w:rsidRPr="00203D76" w14:paraId="2740DF34" w14:textId="77777777">
        <w:tblPrEx>
          <w:tblCellMar>
            <w:top w:w="0" w:type="dxa"/>
            <w:bottom w:w="0" w:type="dxa"/>
          </w:tblCellMar>
        </w:tblPrEx>
        <w:trPr>
          <w:trHeight w:val="94"/>
        </w:trPr>
        <w:tc>
          <w:tcPr>
            <w:tcW w:w="2204" w:type="dxa"/>
          </w:tcPr>
          <w:p w14:paraId="08590852" w14:textId="77777777" w:rsidR="00203D76" w:rsidRPr="00203D76" w:rsidRDefault="00203D76" w:rsidP="0075426D">
            <w:pPr>
              <w:autoSpaceDE w:val="0"/>
              <w:autoSpaceDN w:val="0"/>
              <w:adjustRightInd w:val="0"/>
              <w:spacing w:line="360" w:lineRule="auto"/>
              <w:jc w:val="both"/>
              <w:rPr>
                <w:rFonts w:cs="Arial"/>
                <w:color w:val="000000"/>
                <w:sz w:val="20"/>
                <w:szCs w:val="20"/>
                <w:lang w:val="en-ZA" w:eastAsia="en-GB"/>
              </w:rPr>
            </w:pPr>
            <w:r w:rsidRPr="00203D76">
              <w:rPr>
                <w:rFonts w:cs="Arial"/>
                <w:color w:val="000000"/>
                <w:sz w:val="20"/>
                <w:szCs w:val="20"/>
                <w:lang w:val="en-ZA" w:eastAsia="en-GB"/>
              </w:rPr>
              <w:t xml:space="preserve">August </w:t>
            </w:r>
          </w:p>
        </w:tc>
        <w:tc>
          <w:tcPr>
            <w:tcW w:w="2204" w:type="dxa"/>
          </w:tcPr>
          <w:p w14:paraId="5AA0E291" w14:textId="77777777" w:rsidR="00203D76" w:rsidRPr="00203D76" w:rsidRDefault="00203D76" w:rsidP="0075426D">
            <w:pPr>
              <w:autoSpaceDE w:val="0"/>
              <w:autoSpaceDN w:val="0"/>
              <w:adjustRightInd w:val="0"/>
              <w:spacing w:line="360" w:lineRule="auto"/>
              <w:jc w:val="both"/>
              <w:rPr>
                <w:rFonts w:cs="Arial"/>
                <w:color w:val="000000"/>
                <w:sz w:val="20"/>
                <w:szCs w:val="20"/>
                <w:lang w:val="en-ZA" w:eastAsia="en-GB"/>
              </w:rPr>
            </w:pPr>
            <w:r w:rsidRPr="00203D76">
              <w:rPr>
                <w:rFonts w:cs="Arial"/>
                <w:color w:val="000000"/>
                <w:sz w:val="20"/>
                <w:szCs w:val="20"/>
                <w:lang w:val="en-ZA" w:eastAsia="en-GB"/>
              </w:rPr>
              <w:t xml:space="preserve">35 000 </w:t>
            </w:r>
          </w:p>
        </w:tc>
        <w:tc>
          <w:tcPr>
            <w:tcW w:w="2204" w:type="dxa"/>
          </w:tcPr>
          <w:p w14:paraId="6920B807" w14:textId="77777777" w:rsidR="00203D76" w:rsidRPr="00203D76" w:rsidRDefault="00203D76" w:rsidP="0075426D">
            <w:pPr>
              <w:autoSpaceDE w:val="0"/>
              <w:autoSpaceDN w:val="0"/>
              <w:adjustRightInd w:val="0"/>
              <w:spacing w:line="360" w:lineRule="auto"/>
              <w:jc w:val="both"/>
              <w:rPr>
                <w:rFonts w:cs="Arial"/>
                <w:color w:val="000000"/>
                <w:sz w:val="20"/>
                <w:szCs w:val="20"/>
                <w:lang w:val="en-ZA" w:eastAsia="en-GB"/>
              </w:rPr>
            </w:pPr>
            <w:r w:rsidRPr="00203D76">
              <w:rPr>
                <w:rFonts w:cs="Arial"/>
                <w:color w:val="000000"/>
                <w:sz w:val="20"/>
                <w:szCs w:val="20"/>
                <w:lang w:val="en-ZA" w:eastAsia="en-GB"/>
              </w:rPr>
              <w:t xml:space="preserve">7 Sept </w:t>
            </w:r>
          </w:p>
        </w:tc>
      </w:tr>
      <w:tr w:rsidR="00203D76" w:rsidRPr="00203D76" w14:paraId="3D3C8632" w14:textId="77777777">
        <w:tblPrEx>
          <w:tblCellMar>
            <w:top w:w="0" w:type="dxa"/>
            <w:bottom w:w="0" w:type="dxa"/>
          </w:tblCellMar>
        </w:tblPrEx>
        <w:trPr>
          <w:trHeight w:val="94"/>
        </w:trPr>
        <w:tc>
          <w:tcPr>
            <w:tcW w:w="2204" w:type="dxa"/>
          </w:tcPr>
          <w:p w14:paraId="7EBF8EA0" w14:textId="77777777" w:rsidR="00203D76" w:rsidRPr="00203D76" w:rsidRDefault="00203D76" w:rsidP="0075426D">
            <w:pPr>
              <w:autoSpaceDE w:val="0"/>
              <w:autoSpaceDN w:val="0"/>
              <w:adjustRightInd w:val="0"/>
              <w:spacing w:line="360" w:lineRule="auto"/>
              <w:jc w:val="both"/>
              <w:rPr>
                <w:rFonts w:cs="Arial"/>
                <w:color w:val="000000"/>
                <w:sz w:val="20"/>
                <w:szCs w:val="20"/>
                <w:lang w:val="en-ZA" w:eastAsia="en-GB"/>
              </w:rPr>
            </w:pPr>
            <w:r w:rsidRPr="00203D76">
              <w:rPr>
                <w:rFonts w:cs="Arial"/>
                <w:color w:val="000000"/>
                <w:sz w:val="20"/>
                <w:szCs w:val="20"/>
                <w:lang w:val="en-ZA" w:eastAsia="en-GB"/>
              </w:rPr>
              <w:t xml:space="preserve">September </w:t>
            </w:r>
          </w:p>
        </w:tc>
        <w:tc>
          <w:tcPr>
            <w:tcW w:w="2204" w:type="dxa"/>
          </w:tcPr>
          <w:p w14:paraId="15CF8DEF" w14:textId="77777777" w:rsidR="00203D76" w:rsidRPr="00203D76" w:rsidRDefault="00203D76" w:rsidP="0075426D">
            <w:pPr>
              <w:autoSpaceDE w:val="0"/>
              <w:autoSpaceDN w:val="0"/>
              <w:adjustRightInd w:val="0"/>
              <w:spacing w:line="360" w:lineRule="auto"/>
              <w:jc w:val="both"/>
              <w:rPr>
                <w:rFonts w:cs="Arial"/>
                <w:color w:val="000000"/>
                <w:sz w:val="20"/>
                <w:szCs w:val="20"/>
                <w:lang w:val="en-ZA" w:eastAsia="en-GB"/>
              </w:rPr>
            </w:pPr>
            <w:r w:rsidRPr="00203D76">
              <w:rPr>
                <w:rFonts w:cs="Arial"/>
                <w:color w:val="000000"/>
                <w:sz w:val="20"/>
                <w:szCs w:val="20"/>
                <w:lang w:val="en-ZA" w:eastAsia="en-GB"/>
              </w:rPr>
              <w:t xml:space="preserve">35 000 </w:t>
            </w:r>
          </w:p>
        </w:tc>
        <w:tc>
          <w:tcPr>
            <w:tcW w:w="2204" w:type="dxa"/>
          </w:tcPr>
          <w:p w14:paraId="5684BC66" w14:textId="77777777" w:rsidR="00203D76" w:rsidRPr="00203D76" w:rsidRDefault="00203D76" w:rsidP="0075426D">
            <w:pPr>
              <w:autoSpaceDE w:val="0"/>
              <w:autoSpaceDN w:val="0"/>
              <w:adjustRightInd w:val="0"/>
              <w:spacing w:line="360" w:lineRule="auto"/>
              <w:jc w:val="both"/>
              <w:rPr>
                <w:rFonts w:cs="Arial"/>
                <w:color w:val="000000"/>
                <w:sz w:val="20"/>
                <w:szCs w:val="20"/>
                <w:lang w:val="en-ZA" w:eastAsia="en-GB"/>
              </w:rPr>
            </w:pPr>
            <w:r w:rsidRPr="00203D76">
              <w:rPr>
                <w:rFonts w:cs="Arial"/>
                <w:color w:val="000000"/>
                <w:sz w:val="20"/>
                <w:szCs w:val="20"/>
                <w:lang w:val="en-ZA" w:eastAsia="en-GB"/>
              </w:rPr>
              <w:t xml:space="preserve">5 Oct </w:t>
            </w:r>
          </w:p>
        </w:tc>
      </w:tr>
      <w:tr w:rsidR="00203D76" w:rsidRPr="00203D76" w14:paraId="43CE9E6A" w14:textId="77777777">
        <w:tblPrEx>
          <w:tblCellMar>
            <w:top w:w="0" w:type="dxa"/>
            <w:bottom w:w="0" w:type="dxa"/>
          </w:tblCellMar>
        </w:tblPrEx>
        <w:trPr>
          <w:trHeight w:val="94"/>
        </w:trPr>
        <w:tc>
          <w:tcPr>
            <w:tcW w:w="2204" w:type="dxa"/>
          </w:tcPr>
          <w:p w14:paraId="55F510A4" w14:textId="77777777" w:rsidR="00203D76" w:rsidRPr="00203D76" w:rsidRDefault="00203D76" w:rsidP="0075426D">
            <w:pPr>
              <w:autoSpaceDE w:val="0"/>
              <w:autoSpaceDN w:val="0"/>
              <w:adjustRightInd w:val="0"/>
              <w:spacing w:line="360" w:lineRule="auto"/>
              <w:jc w:val="both"/>
              <w:rPr>
                <w:rFonts w:cs="Arial"/>
                <w:color w:val="000000"/>
                <w:sz w:val="20"/>
                <w:szCs w:val="20"/>
                <w:lang w:val="en-ZA" w:eastAsia="en-GB"/>
              </w:rPr>
            </w:pPr>
            <w:r w:rsidRPr="00203D76">
              <w:rPr>
                <w:rFonts w:cs="Arial"/>
                <w:color w:val="000000"/>
                <w:sz w:val="20"/>
                <w:szCs w:val="20"/>
                <w:lang w:val="en-ZA" w:eastAsia="en-GB"/>
              </w:rPr>
              <w:t xml:space="preserve">October </w:t>
            </w:r>
          </w:p>
        </w:tc>
        <w:tc>
          <w:tcPr>
            <w:tcW w:w="2204" w:type="dxa"/>
          </w:tcPr>
          <w:p w14:paraId="358C53AC" w14:textId="77777777" w:rsidR="00203D76" w:rsidRPr="00203D76" w:rsidRDefault="00203D76" w:rsidP="0075426D">
            <w:pPr>
              <w:autoSpaceDE w:val="0"/>
              <w:autoSpaceDN w:val="0"/>
              <w:adjustRightInd w:val="0"/>
              <w:spacing w:line="360" w:lineRule="auto"/>
              <w:jc w:val="both"/>
              <w:rPr>
                <w:rFonts w:cs="Arial"/>
                <w:color w:val="000000"/>
                <w:sz w:val="20"/>
                <w:szCs w:val="20"/>
                <w:lang w:val="en-ZA" w:eastAsia="en-GB"/>
              </w:rPr>
            </w:pPr>
            <w:r w:rsidRPr="00203D76">
              <w:rPr>
                <w:rFonts w:cs="Arial"/>
                <w:color w:val="000000"/>
                <w:sz w:val="20"/>
                <w:szCs w:val="20"/>
                <w:lang w:val="en-ZA" w:eastAsia="en-GB"/>
              </w:rPr>
              <w:t xml:space="preserve">35 000 </w:t>
            </w:r>
          </w:p>
        </w:tc>
        <w:tc>
          <w:tcPr>
            <w:tcW w:w="2204" w:type="dxa"/>
          </w:tcPr>
          <w:p w14:paraId="6372BD22" w14:textId="77777777" w:rsidR="00203D76" w:rsidRPr="00203D76" w:rsidRDefault="00203D76" w:rsidP="0075426D">
            <w:pPr>
              <w:autoSpaceDE w:val="0"/>
              <w:autoSpaceDN w:val="0"/>
              <w:adjustRightInd w:val="0"/>
              <w:spacing w:line="360" w:lineRule="auto"/>
              <w:jc w:val="both"/>
              <w:rPr>
                <w:rFonts w:cs="Arial"/>
                <w:color w:val="000000"/>
                <w:sz w:val="20"/>
                <w:szCs w:val="20"/>
                <w:lang w:val="en-ZA" w:eastAsia="en-GB"/>
              </w:rPr>
            </w:pPr>
            <w:r w:rsidRPr="00203D76">
              <w:rPr>
                <w:rFonts w:cs="Arial"/>
                <w:color w:val="000000"/>
                <w:sz w:val="20"/>
                <w:szCs w:val="20"/>
                <w:lang w:val="en-ZA" w:eastAsia="en-GB"/>
              </w:rPr>
              <w:t xml:space="preserve">6 Nov </w:t>
            </w:r>
          </w:p>
        </w:tc>
      </w:tr>
      <w:tr w:rsidR="00203D76" w:rsidRPr="00203D76" w14:paraId="5015E591" w14:textId="77777777">
        <w:tblPrEx>
          <w:tblCellMar>
            <w:top w:w="0" w:type="dxa"/>
            <w:bottom w:w="0" w:type="dxa"/>
          </w:tblCellMar>
        </w:tblPrEx>
        <w:trPr>
          <w:trHeight w:val="94"/>
        </w:trPr>
        <w:tc>
          <w:tcPr>
            <w:tcW w:w="2204" w:type="dxa"/>
          </w:tcPr>
          <w:p w14:paraId="68A012E9" w14:textId="77777777" w:rsidR="00203D76" w:rsidRPr="00203D76" w:rsidRDefault="00203D76" w:rsidP="0075426D">
            <w:pPr>
              <w:autoSpaceDE w:val="0"/>
              <w:autoSpaceDN w:val="0"/>
              <w:adjustRightInd w:val="0"/>
              <w:spacing w:line="360" w:lineRule="auto"/>
              <w:jc w:val="both"/>
              <w:rPr>
                <w:rFonts w:cs="Arial"/>
                <w:color w:val="000000"/>
                <w:sz w:val="20"/>
                <w:szCs w:val="20"/>
                <w:lang w:val="en-ZA" w:eastAsia="en-GB"/>
              </w:rPr>
            </w:pPr>
            <w:r w:rsidRPr="00203D76">
              <w:rPr>
                <w:rFonts w:cs="Arial"/>
                <w:color w:val="000000"/>
                <w:sz w:val="20"/>
                <w:szCs w:val="20"/>
                <w:lang w:val="en-ZA" w:eastAsia="en-GB"/>
              </w:rPr>
              <w:t xml:space="preserve">November </w:t>
            </w:r>
          </w:p>
        </w:tc>
        <w:tc>
          <w:tcPr>
            <w:tcW w:w="2204" w:type="dxa"/>
          </w:tcPr>
          <w:p w14:paraId="60025CA5" w14:textId="77777777" w:rsidR="00203D76" w:rsidRPr="00203D76" w:rsidRDefault="00203D76" w:rsidP="0075426D">
            <w:pPr>
              <w:autoSpaceDE w:val="0"/>
              <w:autoSpaceDN w:val="0"/>
              <w:adjustRightInd w:val="0"/>
              <w:spacing w:line="360" w:lineRule="auto"/>
              <w:jc w:val="both"/>
              <w:rPr>
                <w:rFonts w:cs="Arial"/>
                <w:color w:val="000000"/>
                <w:sz w:val="20"/>
                <w:szCs w:val="20"/>
                <w:lang w:val="en-ZA" w:eastAsia="en-GB"/>
              </w:rPr>
            </w:pPr>
            <w:r w:rsidRPr="00203D76">
              <w:rPr>
                <w:rFonts w:cs="Arial"/>
                <w:color w:val="000000"/>
                <w:sz w:val="20"/>
                <w:szCs w:val="20"/>
                <w:lang w:val="en-ZA" w:eastAsia="en-GB"/>
              </w:rPr>
              <w:t xml:space="preserve">35 000 </w:t>
            </w:r>
          </w:p>
        </w:tc>
        <w:tc>
          <w:tcPr>
            <w:tcW w:w="2204" w:type="dxa"/>
          </w:tcPr>
          <w:p w14:paraId="55A90446" w14:textId="77777777" w:rsidR="00203D76" w:rsidRPr="00203D76" w:rsidRDefault="00203D76" w:rsidP="0075426D">
            <w:pPr>
              <w:autoSpaceDE w:val="0"/>
              <w:autoSpaceDN w:val="0"/>
              <w:adjustRightInd w:val="0"/>
              <w:spacing w:line="360" w:lineRule="auto"/>
              <w:jc w:val="both"/>
              <w:rPr>
                <w:rFonts w:cs="Arial"/>
                <w:color w:val="000000"/>
                <w:sz w:val="20"/>
                <w:szCs w:val="20"/>
                <w:lang w:val="en-ZA" w:eastAsia="en-GB"/>
              </w:rPr>
            </w:pPr>
            <w:r w:rsidRPr="00203D76">
              <w:rPr>
                <w:rFonts w:cs="Arial"/>
                <w:color w:val="000000"/>
                <w:sz w:val="20"/>
                <w:szCs w:val="20"/>
                <w:lang w:val="en-ZA" w:eastAsia="en-GB"/>
              </w:rPr>
              <w:t xml:space="preserve">7 Dec </w:t>
            </w:r>
          </w:p>
        </w:tc>
      </w:tr>
      <w:tr w:rsidR="00203D76" w:rsidRPr="00203D76" w14:paraId="608F4F8C" w14:textId="77777777">
        <w:tblPrEx>
          <w:tblCellMar>
            <w:top w:w="0" w:type="dxa"/>
            <w:bottom w:w="0" w:type="dxa"/>
          </w:tblCellMar>
        </w:tblPrEx>
        <w:trPr>
          <w:trHeight w:val="94"/>
        </w:trPr>
        <w:tc>
          <w:tcPr>
            <w:tcW w:w="2204" w:type="dxa"/>
          </w:tcPr>
          <w:p w14:paraId="7314DA58" w14:textId="77777777" w:rsidR="00203D76" w:rsidRPr="00203D76" w:rsidRDefault="00203D76" w:rsidP="0075426D">
            <w:pPr>
              <w:autoSpaceDE w:val="0"/>
              <w:autoSpaceDN w:val="0"/>
              <w:adjustRightInd w:val="0"/>
              <w:spacing w:line="360" w:lineRule="auto"/>
              <w:jc w:val="both"/>
              <w:rPr>
                <w:rFonts w:cs="Arial"/>
                <w:color w:val="000000"/>
                <w:sz w:val="20"/>
                <w:szCs w:val="20"/>
                <w:lang w:val="en-ZA" w:eastAsia="en-GB"/>
              </w:rPr>
            </w:pPr>
            <w:r w:rsidRPr="00203D76">
              <w:rPr>
                <w:rFonts w:cs="Arial"/>
                <w:color w:val="000000"/>
                <w:sz w:val="20"/>
                <w:szCs w:val="20"/>
                <w:lang w:val="en-ZA" w:eastAsia="en-GB"/>
              </w:rPr>
              <w:t xml:space="preserve">December </w:t>
            </w:r>
          </w:p>
        </w:tc>
        <w:tc>
          <w:tcPr>
            <w:tcW w:w="2204" w:type="dxa"/>
          </w:tcPr>
          <w:p w14:paraId="020946AD" w14:textId="77777777" w:rsidR="00203D76" w:rsidRPr="00203D76" w:rsidRDefault="00203D76" w:rsidP="0075426D">
            <w:pPr>
              <w:autoSpaceDE w:val="0"/>
              <w:autoSpaceDN w:val="0"/>
              <w:adjustRightInd w:val="0"/>
              <w:spacing w:line="360" w:lineRule="auto"/>
              <w:jc w:val="both"/>
              <w:rPr>
                <w:rFonts w:cs="Arial"/>
                <w:color w:val="000000"/>
                <w:sz w:val="20"/>
                <w:szCs w:val="20"/>
                <w:lang w:val="en-ZA" w:eastAsia="en-GB"/>
              </w:rPr>
            </w:pPr>
            <w:r w:rsidRPr="00203D76">
              <w:rPr>
                <w:rFonts w:cs="Arial"/>
                <w:color w:val="000000"/>
                <w:sz w:val="20"/>
                <w:szCs w:val="20"/>
                <w:lang w:val="en-ZA" w:eastAsia="en-GB"/>
              </w:rPr>
              <w:t xml:space="preserve">35 000 </w:t>
            </w:r>
          </w:p>
        </w:tc>
        <w:tc>
          <w:tcPr>
            <w:tcW w:w="2204" w:type="dxa"/>
          </w:tcPr>
          <w:p w14:paraId="38E9131F" w14:textId="77777777" w:rsidR="00203D76" w:rsidRPr="00203D76" w:rsidRDefault="00203D76" w:rsidP="0075426D">
            <w:pPr>
              <w:autoSpaceDE w:val="0"/>
              <w:autoSpaceDN w:val="0"/>
              <w:adjustRightInd w:val="0"/>
              <w:spacing w:line="360" w:lineRule="auto"/>
              <w:jc w:val="both"/>
              <w:rPr>
                <w:rFonts w:cs="Arial"/>
                <w:color w:val="000000"/>
                <w:sz w:val="20"/>
                <w:szCs w:val="20"/>
                <w:lang w:val="en-ZA" w:eastAsia="en-GB"/>
              </w:rPr>
            </w:pPr>
            <w:r w:rsidRPr="00203D76">
              <w:rPr>
                <w:rFonts w:cs="Arial"/>
                <w:color w:val="000000"/>
                <w:sz w:val="20"/>
                <w:szCs w:val="20"/>
                <w:lang w:val="en-ZA" w:eastAsia="en-GB"/>
              </w:rPr>
              <w:t xml:space="preserve">7 Jan </w:t>
            </w:r>
          </w:p>
        </w:tc>
      </w:tr>
      <w:tr w:rsidR="00203D76" w:rsidRPr="00203D76" w14:paraId="1124F3FB" w14:textId="77777777">
        <w:tblPrEx>
          <w:tblCellMar>
            <w:top w:w="0" w:type="dxa"/>
            <w:bottom w:w="0" w:type="dxa"/>
          </w:tblCellMar>
        </w:tblPrEx>
        <w:trPr>
          <w:trHeight w:val="94"/>
        </w:trPr>
        <w:tc>
          <w:tcPr>
            <w:tcW w:w="2204" w:type="dxa"/>
          </w:tcPr>
          <w:p w14:paraId="74EBA30B" w14:textId="77777777" w:rsidR="00203D76" w:rsidRPr="00203D76" w:rsidRDefault="00203D76" w:rsidP="0075426D">
            <w:pPr>
              <w:autoSpaceDE w:val="0"/>
              <w:autoSpaceDN w:val="0"/>
              <w:adjustRightInd w:val="0"/>
              <w:spacing w:line="360" w:lineRule="auto"/>
              <w:jc w:val="both"/>
              <w:rPr>
                <w:rFonts w:cs="Arial"/>
                <w:color w:val="000000"/>
                <w:sz w:val="20"/>
                <w:szCs w:val="20"/>
                <w:lang w:val="en-ZA" w:eastAsia="en-GB"/>
              </w:rPr>
            </w:pPr>
            <w:r w:rsidRPr="00203D76">
              <w:rPr>
                <w:rFonts w:cs="Arial"/>
                <w:color w:val="000000"/>
                <w:sz w:val="20"/>
                <w:szCs w:val="20"/>
                <w:lang w:val="en-ZA" w:eastAsia="en-GB"/>
              </w:rPr>
              <w:t xml:space="preserve">January </w:t>
            </w:r>
          </w:p>
        </w:tc>
        <w:tc>
          <w:tcPr>
            <w:tcW w:w="2204" w:type="dxa"/>
          </w:tcPr>
          <w:p w14:paraId="0EDAE080" w14:textId="77777777" w:rsidR="00203D76" w:rsidRPr="00203D76" w:rsidRDefault="00203D76" w:rsidP="0075426D">
            <w:pPr>
              <w:autoSpaceDE w:val="0"/>
              <w:autoSpaceDN w:val="0"/>
              <w:adjustRightInd w:val="0"/>
              <w:spacing w:line="360" w:lineRule="auto"/>
              <w:jc w:val="both"/>
              <w:rPr>
                <w:rFonts w:cs="Arial"/>
                <w:color w:val="000000"/>
                <w:sz w:val="20"/>
                <w:szCs w:val="20"/>
                <w:lang w:val="en-ZA" w:eastAsia="en-GB"/>
              </w:rPr>
            </w:pPr>
            <w:r w:rsidRPr="00203D76">
              <w:rPr>
                <w:rFonts w:cs="Arial"/>
                <w:color w:val="000000"/>
                <w:sz w:val="20"/>
                <w:szCs w:val="20"/>
                <w:lang w:val="en-ZA" w:eastAsia="en-GB"/>
              </w:rPr>
              <w:t xml:space="preserve">35 000 </w:t>
            </w:r>
          </w:p>
        </w:tc>
        <w:tc>
          <w:tcPr>
            <w:tcW w:w="2204" w:type="dxa"/>
          </w:tcPr>
          <w:p w14:paraId="7DE33995" w14:textId="77777777" w:rsidR="00203D76" w:rsidRPr="00203D76" w:rsidRDefault="00203D76" w:rsidP="0075426D">
            <w:pPr>
              <w:autoSpaceDE w:val="0"/>
              <w:autoSpaceDN w:val="0"/>
              <w:adjustRightInd w:val="0"/>
              <w:spacing w:line="360" w:lineRule="auto"/>
              <w:jc w:val="both"/>
              <w:rPr>
                <w:rFonts w:cs="Arial"/>
                <w:color w:val="000000"/>
                <w:sz w:val="20"/>
                <w:szCs w:val="20"/>
                <w:lang w:val="en-ZA" w:eastAsia="en-GB"/>
              </w:rPr>
            </w:pPr>
            <w:r w:rsidRPr="00203D76">
              <w:rPr>
                <w:rFonts w:cs="Arial"/>
                <w:color w:val="000000"/>
                <w:sz w:val="20"/>
                <w:szCs w:val="20"/>
                <w:lang w:val="en-ZA" w:eastAsia="en-GB"/>
              </w:rPr>
              <w:t xml:space="preserve">5 F </w:t>
            </w:r>
          </w:p>
        </w:tc>
      </w:tr>
    </w:tbl>
    <w:p w14:paraId="13DC19D2" w14:textId="5495D5F5" w:rsidR="007D79EA" w:rsidRDefault="007D79EA" w:rsidP="0075426D">
      <w:pPr>
        <w:tabs>
          <w:tab w:val="left" w:pos="4580"/>
        </w:tabs>
        <w:spacing w:line="360" w:lineRule="auto"/>
        <w:jc w:val="both"/>
        <w:rPr>
          <w:rFonts w:cs="Arial"/>
          <w:szCs w:val="22"/>
          <w:lang w:val="en-ZA"/>
        </w:rPr>
      </w:pPr>
    </w:p>
    <w:p w14:paraId="737FBD37" w14:textId="77777777" w:rsidR="004F2EA8" w:rsidRDefault="004F2EA8" w:rsidP="0075426D">
      <w:pPr>
        <w:pStyle w:val="Default"/>
        <w:spacing w:line="360" w:lineRule="auto"/>
        <w:jc w:val="both"/>
      </w:pPr>
    </w:p>
    <w:p w14:paraId="7247E2D4" w14:textId="77777777" w:rsidR="004F2EA8" w:rsidRDefault="004F2EA8" w:rsidP="0075426D">
      <w:pPr>
        <w:pStyle w:val="Default"/>
        <w:spacing w:after="417" w:line="360" w:lineRule="auto"/>
        <w:jc w:val="both"/>
        <w:rPr>
          <w:b/>
          <w:bCs/>
          <w:sz w:val="23"/>
          <w:szCs w:val="23"/>
        </w:rPr>
      </w:pPr>
      <w:r>
        <w:rPr>
          <w:sz w:val="23"/>
          <w:szCs w:val="23"/>
        </w:rPr>
        <w:t xml:space="preserve">2.3. </w:t>
      </w:r>
      <w:r>
        <w:rPr>
          <w:b/>
          <w:bCs/>
          <w:sz w:val="23"/>
          <w:szCs w:val="23"/>
        </w:rPr>
        <w:t xml:space="preserve">DEFERRAL OF PROVISIONAL TAX (CLAUSE 3) </w:t>
      </w:r>
    </w:p>
    <w:p w14:paraId="068AD534" w14:textId="24231E23" w:rsidR="004F2EA8" w:rsidRDefault="004F2EA8" w:rsidP="0075426D">
      <w:pPr>
        <w:pStyle w:val="Default"/>
        <w:spacing w:after="417" w:line="360" w:lineRule="auto"/>
        <w:jc w:val="both"/>
        <w:rPr>
          <w:sz w:val="23"/>
          <w:szCs w:val="23"/>
        </w:rPr>
      </w:pPr>
      <w:r>
        <w:rPr>
          <w:sz w:val="23"/>
          <w:szCs w:val="23"/>
        </w:rPr>
        <w:t xml:space="preserve">2.3.1. Paragraph 17 of the Fourth Schedule to the Income Tax Act (the Act), makes provision for every provisional taxpayer to make provisional tax payments in respect of their annual tax liability. The provisional tax payment for the annual tax liability is based on an estimate by the taxpayer of total taxable income, or is based on an estimate made by the Commissioner for SARS in terms of paragraphs 19(2) or 19(3) of the Fourth Schedule to the Act. Under justifiable circumstances the estimate submitted by the provisional taxpayer may to be less than the basic amount applicable to the estimate in question. </w:t>
      </w:r>
    </w:p>
    <w:p w14:paraId="1721E6DD" w14:textId="77777777" w:rsidR="004F2EA8" w:rsidRDefault="004F2EA8" w:rsidP="0075426D">
      <w:pPr>
        <w:pStyle w:val="Default"/>
        <w:spacing w:line="360" w:lineRule="auto"/>
        <w:jc w:val="both"/>
        <w:rPr>
          <w:sz w:val="23"/>
          <w:szCs w:val="23"/>
        </w:rPr>
      </w:pPr>
      <w:r>
        <w:rPr>
          <w:sz w:val="23"/>
          <w:szCs w:val="23"/>
        </w:rPr>
        <w:t xml:space="preserve">2.3.2. Paragraphs 19(1), 21 and 23 of the Fourth schedule to the Act make provision for a provisional taxpayer to submit a return and make provisional tax payment to SARS. The first payment, which is 50% of the total estimated liability, must be made within six months after the commencement of the year of assessment and the second payment, which is the total estimated liability reduced by the first payment, must be made by no later than the last day of that year of assessment. </w:t>
      </w:r>
    </w:p>
    <w:p w14:paraId="0AA25DE4" w14:textId="77777777" w:rsidR="004F2EA8" w:rsidRDefault="004F2EA8" w:rsidP="0075426D">
      <w:pPr>
        <w:pStyle w:val="Default"/>
        <w:spacing w:line="360" w:lineRule="auto"/>
        <w:jc w:val="both"/>
        <w:rPr>
          <w:sz w:val="23"/>
          <w:szCs w:val="23"/>
        </w:rPr>
      </w:pPr>
    </w:p>
    <w:p w14:paraId="59AE1A11" w14:textId="77777777" w:rsidR="004F2EA8" w:rsidRDefault="004F2EA8" w:rsidP="0075426D">
      <w:pPr>
        <w:pStyle w:val="Default"/>
        <w:spacing w:line="360" w:lineRule="auto"/>
        <w:jc w:val="both"/>
      </w:pPr>
    </w:p>
    <w:p w14:paraId="072AE967" w14:textId="77777777" w:rsidR="004F2EA8" w:rsidRDefault="004F2EA8" w:rsidP="0075426D">
      <w:pPr>
        <w:pStyle w:val="Default"/>
        <w:spacing w:after="416" w:line="360" w:lineRule="auto"/>
        <w:jc w:val="both"/>
        <w:rPr>
          <w:sz w:val="23"/>
          <w:szCs w:val="23"/>
        </w:rPr>
      </w:pPr>
      <w:r>
        <w:rPr>
          <w:sz w:val="23"/>
          <w:szCs w:val="23"/>
        </w:rPr>
        <w:lastRenderedPageBreak/>
        <w:t xml:space="preserve">2.3.3. In order to assist with alleviating cash flow burdens arising as a result of the COVID-19 outbreak, the following tax measures are proposed for qualifying provisional taxpayers, for a period of twelve months, beginning 1 April 2020 and ending on 31 March 2021: 2.3.3.1. Deferral of a portion of the payment of the first and second provisional tax liability to SARS, without SARS imposing administrative penalties and interest for the late payment of the deferred amount. </w:t>
      </w:r>
    </w:p>
    <w:p w14:paraId="1448C520" w14:textId="77777777" w:rsidR="004F2EA8" w:rsidRDefault="004F2EA8" w:rsidP="0075426D">
      <w:pPr>
        <w:pStyle w:val="Default"/>
        <w:spacing w:after="416" w:line="360" w:lineRule="auto"/>
        <w:jc w:val="both"/>
        <w:rPr>
          <w:sz w:val="23"/>
          <w:szCs w:val="23"/>
        </w:rPr>
      </w:pPr>
      <w:r>
        <w:rPr>
          <w:sz w:val="23"/>
          <w:szCs w:val="23"/>
        </w:rPr>
        <w:t xml:space="preserve">2.3.3.2. The first provisional tax payment due from 1 April 2020 to 30 September 2020 will be based on 15% of the estimated total tax liability, while the second provisional tax payment from 1 April 2020 to 31 March 2021 will be based on 65% of the estimated total tax liability. </w:t>
      </w:r>
    </w:p>
    <w:p w14:paraId="46BF12A6" w14:textId="77777777" w:rsidR="004F2EA8" w:rsidRDefault="004F2EA8" w:rsidP="0075426D">
      <w:pPr>
        <w:pStyle w:val="Default"/>
        <w:spacing w:line="360" w:lineRule="auto"/>
        <w:jc w:val="both"/>
        <w:rPr>
          <w:sz w:val="23"/>
          <w:szCs w:val="23"/>
        </w:rPr>
      </w:pPr>
      <w:r>
        <w:rPr>
          <w:sz w:val="23"/>
          <w:szCs w:val="23"/>
        </w:rPr>
        <w:t>2.3.3.3. Provisional taxpayers will be required to pay deferred provisional tax payments on the effective date, referred to in section 89</w:t>
      </w:r>
      <w:r>
        <w:rPr>
          <w:i/>
          <w:iCs/>
          <w:sz w:val="23"/>
          <w:szCs w:val="23"/>
        </w:rPr>
        <w:t xml:space="preserve">quat </w:t>
      </w:r>
      <w:r>
        <w:rPr>
          <w:sz w:val="23"/>
          <w:szCs w:val="23"/>
        </w:rPr>
        <w:t xml:space="preserve">of the Income Tax Act, by when additional provisional tax payments (generally referred to as the third ‘top up’ provisional tax payment) may be made under paragraph 23A(1) of the Fourth Schedule, for the year of assessment to which the deferred payments relate. </w:t>
      </w:r>
    </w:p>
    <w:p w14:paraId="2B3B42B9" w14:textId="77777777" w:rsidR="004F2EA8" w:rsidRDefault="004F2EA8" w:rsidP="0075426D">
      <w:pPr>
        <w:pStyle w:val="Default"/>
        <w:spacing w:line="360" w:lineRule="auto"/>
        <w:jc w:val="both"/>
        <w:rPr>
          <w:sz w:val="23"/>
          <w:szCs w:val="23"/>
        </w:rPr>
      </w:pPr>
    </w:p>
    <w:p w14:paraId="1B7B7393" w14:textId="50E5CB90" w:rsidR="004F2EA8" w:rsidRDefault="004F2EA8" w:rsidP="0075426D">
      <w:pPr>
        <w:pStyle w:val="Default"/>
        <w:spacing w:line="360" w:lineRule="auto"/>
        <w:jc w:val="both"/>
        <w:rPr>
          <w:sz w:val="23"/>
          <w:szCs w:val="23"/>
        </w:rPr>
      </w:pPr>
      <w:r>
        <w:rPr>
          <w:sz w:val="23"/>
          <w:szCs w:val="23"/>
        </w:rPr>
        <w:t xml:space="preserve">2.3.4. For the purposes of this proposal, small or medium sized business means a business conducted by a company, individual </w:t>
      </w:r>
      <w:r w:rsidR="003C4B9C" w:rsidRPr="003C4B9C">
        <w:rPr>
          <w:sz w:val="23"/>
          <w:szCs w:val="23"/>
        </w:rPr>
        <w:t>or trust with a gross income not exceeding R100 million for the relevant year of assessment, where such gross income does not include more than 20% in aggregate of interest, dividends, foreign dividends, royalties, rental from letting fixed property, annuities and any remuneration received from an employer. Rental from letting fixed property is not considered for the purposes of this test if the primary trading activity of the company, trust, partnership or individual is the letting of fixed properties and substantially the whole of the gross income is rental from fixed property.</w:t>
      </w:r>
    </w:p>
    <w:p w14:paraId="5FD948ED" w14:textId="77777777" w:rsidR="003C4B9C" w:rsidRDefault="003C4B9C" w:rsidP="0075426D">
      <w:pPr>
        <w:pStyle w:val="Default"/>
        <w:spacing w:line="360" w:lineRule="auto"/>
        <w:jc w:val="both"/>
      </w:pPr>
    </w:p>
    <w:p w14:paraId="2DCF893C" w14:textId="77777777" w:rsidR="003C4B9C" w:rsidRDefault="003C4B9C" w:rsidP="0075426D">
      <w:pPr>
        <w:pStyle w:val="Default"/>
        <w:spacing w:after="416" w:line="360" w:lineRule="auto"/>
        <w:jc w:val="both"/>
        <w:rPr>
          <w:sz w:val="23"/>
          <w:szCs w:val="23"/>
        </w:rPr>
      </w:pPr>
      <w:r>
        <w:rPr>
          <w:sz w:val="23"/>
          <w:szCs w:val="23"/>
        </w:rPr>
        <w:t xml:space="preserve">2.3.5. The following sanctions are applicable to provisional tax: 2.3.5.1. Paragraph 27 of the Fourth Schedule makes provision for a 10% penalty for late payment of a provisional tax liability for both the first and second tax periods. Relief from this penalty will be provided in respect of the deferred amounts of provisional tax. </w:t>
      </w:r>
    </w:p>
    <w:p w14:paraId="0DD0942C" w14:textId="77777777" w:rsidR="003C4B9C" w:rsidRDefault="003C4B9C" w:rsidP="0075426D">
      <w:pPr>
        <w:pStyle w:val="Default"/>
        <w:spacing w:line="360" w:lineRule="auto"/>
        <w:jc w:val="both"/>
        <w:rPr>
          <w:sz w:val="23"/>
          <w:szCs w:val="23"/>
        </w:rPr>
      </w:pPr>
      <w:r>
        <w:rPr>
          <w:sz w:val="23"/>
          <w:szCs w:val="23"/>
        </w:rPr>
        <w:t xml:space="preserve">2.3.5.2. Paragraph 20 of the Fourth Schedule makes provision for a penalty on the underpayment of a provisional tax liability for the second provisional tax period as a result of underestimation, reduced by any section 27 penalty imposed for that period. This penalty will still apply as the estimation of the provisional tax liability must still be correct, although only a reduced amount needs to be paid if the deferral is used. The normal provisions in respect of an underestimation penalty will apply. </w:t>
      </w:r>
    </w:p>
    <w:p w14:paraId="19575DB8" w14:textId="77777777" w:rsidR="003C4B9C" w:rsidRDefault="003C4B9C" w:rsidP="0075426D">
      <w:pPr>
        <w:pStyle w:val="Default"/>
        <w:spacing w:line="360" w:lineRule="auto"/>
        <w:jc w:val="both"/>
      </w:pPr>
    </w:p>
    <w:p w14:paraId="47B3183C" w14:textId="77777777" w:rsidR="003C4B9C" w:rsidRDefault="003C4B9C" w:rsidP="0075426D">
      <w:pPr>
        <w:pStyle w:val="Default"/>
        <w:spacing w:after="416" w:line="360" w:lineRule="auto"/>
        <w:jc w:val="both"/>
        <w:rPr>
          <w:sz w:val="23"/>
          <w:szCs w:val="23"/>
        </w:rPr>
      </w:pPr>
      <w:r>
        <w:rPr>
          <w:sz w:val="23"/>
          <w:szCs w:val="23"/>
        </w:rPr>
        <w:t>2.3.6. Section 89</w:t>
      </w:r>
      <w:r>
        <w:rPr>
          <w:i/>
          <w:iCs/>
          <w:sz w:val="23"/>
          <w:szCs w:val="23"/>
        </w:rPr>
        <w:t xml:space="preserve">bis </w:t>
      </w:r>
      <w:r>
        <w:rPr>
          <w:sz w:val="23"/>
          <w:szCs w:val="23"/>
        </w:rPr>
        <w:t xml:space="preserve">of the Act provides for interest on the unpaid portion of a provisional tax liability. Relief from this interest on the deferred amounts will be provided. </w:t>
      </w:r>
    </w:p>
    <w:p w14:paraId="3CB59F12" w14:textId="77777777" w:rsidR="003C4B9C" w:rsidRDefault="003C4B9C" w:rsidP="0075426D">
      <w:pPr>
        <w:pStyle w:val="Default"/>
        <w:spacing w:after="417" w:line="360" w:lineRule="auto"/>
        <w:jc w:val="both"/>
        <w:rPr>
          <w:sz w:val="23"/>
          <w:szCs w:val="23"/>
        </w:rPr>
      </w:pPr>
      <w:r>
        <w:rPr>
          <w:sz w:val="23"/>
          <w:szCs w:val="23"/>
        </w:rPr>
        <w:t xml:space="preserve">2.3.7. The above-mentioned proposals will not apply to a provisional taxpayer that— 2.3.7.1. has failed to submit any return as defined in section 1 of the TAA as required by section 25 of the TAA; or </w:t>
      </w:r>
    </w:p>
    <w:p w14:paraId="45729096" w14:textId="77777777" w:rsidR="0079711A" w:rsidRDefault="003C4B9C" w:rsidP="0075426D">
      <w:pPr>
        <w:pStyle w:val="Default"/>
        <w:spacing w:after="416" w:line="360" w:lineRule="auto"/>
        <w:jc w:val="both"/>
        <w:rPr>
          <w:sz w:val="23"/>
          <w:szCs w:val="23"/>
        </w:rPr>
      </w:pPr>
      <w:r>
        <w:rPr>
          <w:sz w:val="23"/>
          <w:szCs w:val="23"/>
        </w:rPr>
        <w:t xml:space="preserve">2.3.7.2. has any outstanding tax debt as defined in section 1 of the TAA, but excluding a tax debt— </w:t>
      </w:r>
    </w:p>
    <w:p w14:paraId="1EA4573F" w14:textId="7AB679FB" w:rsidR="003C4B9C" w:rsidRDefault="003C4B9C" w:rsidP="0075426D">
      <w:pPr>
        <w:pStyle w:val="Default"/>
        <w:spacing w:after="416" w:line="360" w:lineRule="auto"/>
        <w:jc w:val="both"/>
        <w:rPr>
          <w:sz w:val="23"/>
          <w:szCs w:val="23"/>
        </w:rPr>
      </w:pPr>
      <w:r>
        <w:rPr>
          <w:sz w:val="23"/>
          <w:szCs w:val="23"/>
        </w:rPr>
        <w:t xml:space="preserve">2.3.7.2.1. in respect of which an agreement has been entered into in accordance with section 167 or 204 of the </w:t>
      </w:r>
      <w:proofErr w:type="gramStart"/>
      <w:r>
        <w:rPr>
          <w:sz w:val="23"/>
          <w:szCs w:val="23"/>
        </w:rPr>
        <w:t>TAA;</w:t>
      </w:r>
      <w:proofErr w:type="gramEnd"/>
      <w:r>
        <w:rPr>
          <w:sz w:val="23"/>
          <w:szCs w:val="23"/>
        </w:rPr>
        <w:t xml:space="preserve"> </w:t>
      </w:r>
    </w:p>
    <w:p w14:paraId="21B3E055" w14:textId="77777777" w:rsidR="003C4B9C" w:rsidRDefault="003C4B9C" w:rsidP="0075426D">
      <w:pPr>
        <w:pStyle w:val="Default"/>
        <w:spacing w:after="416" w:line="360" w:lineRule="auto"/>
        <w:jc w:val="both"/>
        <w:rPr>
          <w:sz w:val="23"/>
          <w:szCs w:val="23"/>
        </w:rPr>
      </w:pPr>
      <w:r>
        <w:rPr>
          <w:sz w:val="23"/>
          <w:szCs w:val="23"/>
        </w:rPr>
        <w:t xml:space="preserve">2.3.7.2.2. that has been suspended in terms of section 164 of the TAA; or </w:t>
      </w:r>
    </w:p>
    <w:p w14:paraId="0CB1EB8F" w14:textId="77777777" w:rsidR="003C4B9C" w:rsidRDefault="003C4B9C" w:rsidP="0075426D">
      <w:pPr>
        <w:pStyle w:val="Default"/>
        <w:spacing w:line="360" w:lineRule="auto"/>
        <w:jc w:val="both"/>
        <w:rPr>
          <w:sz w:val="23"/>
          <w:szCs w:val="23"/>
        </w:rPr>
      </w:pPr>
      <w:r>
        <w:rPr>
          <w:sz w:val="23"/>
          <w:szCs w:val="23"/>
        </w:rPr>
        <w:t xml:space="preserve">2.3.7.2.3. that does not exceed the amount referred to in section 169(4) of the TAA. </w:t>
      </w:r>
    </w:p>
    <w:p w14:paraId="2D0179A3" w14:textId="77777777" w:rsidR="003C4B9C" w:rsidRDefault="003C4B9C" w:rsidP="0075426D">
      <w:pPr>
        <w:pStyle w:val="Default"/>
        <w:spacing w:line="360" w:lineRule="auto"/>
        <w:jc w:val="both"/>
        <w:rPr>
          <w:sz w:val="23"/>
          <w:szCs w:val="23"/>
        </w:rPr>
      </w:pPr>
    </w:p>
    <w:p w14:paraId="14D78C4B" w14:textId="659F4686" w:rsidR="003C4B9C" w:rsidRDefault="003C4B9C" w:rsidP="0075426D">
      <w:pPr>
        <w:pStyle w:val="Default"/>
        <w:spacing w:line="360" w:lineRule="auto"/>
        <w:jc w:val="both"/>
        <w:rPr>
          <w:sz w:val="23"/>
          <w:szCs w:val="23"/>
        </w:rPr>
      </w:pPr>
      <w:r>
        <w:rPr>
          <w:sz w:val="23"/>
          <w:szCs w:val="23"/>
        </w:rPr>
        <w:t xml:space="preserve">2.3.8. However, penalties and interest will apply in instances where, upon assessment, it is discovered that a taxpayer does not qualify for relief under the proposed amendments. The usual procedures for requests for remittance of such penalties will be available in such cases. </w:t>
      </w:r>
    </w:p>
    <w:p w14:paraId="734F91D1" w14:textId="77777777" w:rsidR="001D2B50" w:rsidRDefault="001D2B50" w:rsidP="0075426D">
      <w:pPr>
        <w:pStyle w:val="Default"/>
        <w:spacing w:line="360" w:lineRule="auto"/>
        <w:jc w:val="both"/>
      </w:pPr>
    </w:p>
    <w:p w14:paraId="4E99E727" w14:textId="6A06FEA6" w:rsidR="001D2B50" w:rsidRDefault="001D2B50" w:rsidP="0075426D">
      <w:pPr>
        <w:pStyle w:val="Default"/>
        <w:spacing w:line="360" w:lineRule="auto"/>
        <w:jc w:val="both"/>
        <w:rPr>
          <w:b/>
          <w:bCs/>
          <w:sz w:val="23"/>
          <w:szCs w:val="23"/>
        </w:rPr>
      </w:pPr>
      <w:r>
        <w:rPr>
          <w:sz w:val="23"/>
          <w:szCs w:val="23"/>
        </w:rPr>
        <w:t xml:space="preserve">2.3.9. </w:t>
      </w:r>
      <w:r>
        <w:rPr>
          <w:b/>
          <w:bCs/>
          <w:sz w:val="23"/>
          <w:szCs w:val="23"/>
        </w:rPr>
        <w:t xml:space="preserve">Examples </w:t>
      </w:r>
    </w:p>
    <w:p w14:paraId="29640FE1" w14:textId="76AE7FD2" w:rsidR="001C6FE8" w:rsidRDefault="001C6FE8" w:rsidP="0075426D">
      <w:pPr>
        <w:pStyle w:val="Default"/>
        <w:spacing w:line="360" w:lineRule="auto"/>
        <w:jc w:val="both"/>
        <w:rPr>
          <w:sz w:val="23"/>
          <w:szCs w:val="23"/>
        </w:rPr>
      </w:pPr>
      <w:r>
        <w:rPr>
          <w:sz w:val="23"/>
          <w:szCs w:val="23"/>
        </w:rPr>
        <w:t>The examples below provide an illustrative example for two companies with different financial year-ends (FYEs).</w:t>
      </w:r>
    </w:p>
    <w:p w14:paraId="5CDFA5F1" w14:textId="77777777" w:rsidR="001C6FE8" w:rsidRDefault="001C6FE8" w:rsidP="0075426D">
      <w:pPr>
        <w:pStyle w:val="Default"/>
        <w:spacing w:line="360" w:lineRule="auto"/>
        <w:jc w:val="both"/>
        <w:rPr>
          <w:sz w:val="23"/>
          <w:szCs w:val="23"/>
          <w:u w:val="single"/>
        </w:rPr>
      </w:pPr>
    </w:p>
    <w:p w14:paraId="1F6A8205" w14:textId="49B26BD5" w:rsidR="001C6FE8" w:rsidRPr="001C6FE8" w:rsidRDefault="001C6FE8" w:rsidP="0075426D">
      <w:pPr>
        <w:pStyle w:val="Default"/>
        <w:spacing w:line="360" w:lineRule="auto"/>
        <w:jc w:val="both"/>
        <w:rPr>
          <w:sz w:val="23"/>
          <w:szCs w:val="23"/>
          <w:u w:val="single"/>
        </w:rPr>
      </w:pPr>
      <w:r w:rsidRPr="001C6FE8">
        <w:rPr>
          <w:sz w:val="23"/>
          <w:szCs w:val="23"/>
          <w:u w:val="single"/>
        </w:rPr>
        <w:t>Example 1:</w:t>
      </w:r>
    </w:p>
    <w:p w14:paraId="01459020" w14:textId="77777777" w:rsidR="001D2B50" w:rsidRDefault="001D2B50" w:rsidP="0075426D">
      <w:pPr>
        <w:pStyle w:val="Default"/>
        <w:spacing w:line="360" w:lineRule="auto"/>
        <w:jc w:val="both"/>
        <w:rPr>
          <w:sz w:val="23"/>
          <w:szCs w:val="23"/>
        </w:rPr>
      </w:pPr>
    </w:p>
    <w:p w14:paraId="64B6BDA4" w14:textId="6C368D92" w:rsidR="001D2B50" w:rsidRDefault="001D2B50" w:rsidP="0079711A">
      <w:pPr>
        <w:pStyle w:val="Default"/>
        <w:numPr>
          <w:ilvl w:val="0"/>
          <w:numId w:val="27"/>
        </w:numPr>
        <w:spacing w:line="360" w:lineRule="auto"/>
        <w:jc w:val="both"/>
        <w:rPr>
          <w:sz w:val="23"/>
          <w:szCs w:val="23"/>
        </w:rPr>
      </w:pPr>
      <w:r>
        <w:rPr>
          <w:sz w:val="23"/>
          <w:szCs w:val="23"/>
        </w:rPr>
        <w:t xml:space="preserve">Company A has a 30 June 2020 FYE. It would already have paid its first provisional tax payment of approximately 50% (of its estimated total tax liability, say R3 million) by 31 December 2019 </w:t>
      </w:r>
    </w:p>
    <w:p w14:paraId="51962840" w14:textId="10E6401F" w:rsidR="001D2B50" w:rsidRDefault="001D2B50" w:rsidP="0079711A">
      <w:pPr>
        <w:pStyle w:val="Default"/>
        <w:numPr>
          <w:ilvl w:val="0"/>
          <w:numId w:val="27"/>
        </w:numPr>
        <w:spacing w:line="360" w:lineRule="auto"/>
        <w:jc w:val="both"/>
        <w:rPr>
          <w:sz w:val="23"/>
          <w:szCs w:val="23"/>
        </w:rPr>
      </w:pPr>
      <w:r>
        <w:rPr>
          <w:sz w:val="23"/>
          <w:szCs w:val="23"/>
        </w:rPr>
        <w:t xml:space="preserve">Its second provisional payment will be due 30 June 2020 – during the period of the temporary relief measure. Instead of paying a further R1.5 million (50%) based on the current legislation, it need only pay R450 000 (15% of R3 million) so that the cumulative total of the first and second provisional tax payments is 65% of the estimated total tax liability (as opposed to 100%) </w:t>
      </w:r>
    </w:p>
    <w:p w14:paraId="0893053B" w14:textId="127D60A3" w:rsidR="001D2B50" w:rsidRDefault="001D2B50" w:rsidP="0079711A">
      <w:pPr>
        <w:pStyle w:val="Default"/>
        <w:numPr>
          <w:ilvl w:val="0"/>
          <w:numId w:val="27"/>
        </w:numPr>
        <w:spacing w:line="360" w:lineRule="auto"/>
        <w:jc w:val="both"/>
        <w:rPr>
          <w:sz w:val="23"/>
          <w:szCs w:val="23"/>
        </w:rPr>
      </w:pPr>
      <w:r>
        <w:rPr>
          <w:sz w:val="23"/>
          <w:szCs w:val="23"/>
        </w:rPr>
        <w:lastRenderedPageBreak/>
        <w:t xml:space="preserve">This will provide Company A with a R1 050 000 cash flow benefit during the temporary relief period. Normally, it would have until 31 December 2020 to pay a (usually small) third top-up amount to avoid an interest charge. This relief measure will allow the company to pay the outstanding balance (35% or R1 050 000) by this date. </w:t>
      </w:r>
    </w:p>
    <w:p w14:paraId="19A1FE89" w14:textId="77777777" w:rsidR="001C6FE8" w:rsidRDefault="001C6FE8" w:rsidP="0075426D">
      <w:pPr>
        <w:pStyle w:val="Default"/>
        <w:spacing w:line="360" w:lineRule="auto"/>
        <w:jc w:val="both"/>
        <w:rPr>
          <w:sz w:val="23"/>
          <w:szCs w:val="23"/>
        </w:rPr>
      </w:pPr>
    </w:p>
    <w:p w14:paraId="362B07FF" w14:textId="2CD34906" w:rsidR="003C4B9C" w:rsidRPr="00FB0EBF" w:rsidRDefault="00FB0EBF" w:rsidP="0075426D">
      <w:pPr>
        <w:pStyle w:val="Default"/>
        <w:spacing w:line="360" w:lineRule="auto"/>
        <w:jc w:val="both"/>
        <w:rPr>
          <w:sz w:val="23"/>
          <w:szCs w:val="23"/>
          <w:u w:val="single"/>
        </w:rPr>
      </w:pPr>
      <w:r w:rsidRPr="00FB0EBF">
        <w:rPr>
          <w:sz w:val="23"/>
          <w:szCs w:val="23"/>
          <w:u w:val="single"/>
        </w:rPr>
        <w:t>Example 2:</w:t>
      </w:r>
    </w:p>
    <w:p w14:paraId="0CC10A11" w14:textId="77777777" w:rsidR="00FB0EBF" w:rsidRDefault="00FB0EBF" w:rsidP="0075426D">
      <w:pPr>
        <w:pStyle w:val="Default"/>
        <w:spacing w:line="360" w:lineRule="auto"/>
        <w:jc w:val="both"/>
      </w:pPr>
    </w:p>
    <w:p w14:paraId="64ABF74E" w14:textId="2A794430" w:rsidR="00FB0EBF" w:rsidRDefault="00FB0EBF" w:rsidP="0079711A">
      <w:pPr>
        <w:pStyle w:val="Default"/>
        <w:numPr>
          <w:ilvl w:val="0"/>
          <w:numId w:val="28"/>
        </w:numPr>
        <w:spacing w:line="360" w:lineRule="auto"/>
        <w:jc w:val="both"/>
        <w:rPr>
          <w:sz w:val="23"/>
          <w:szCs w:val="23"/>
        </w:rPr>
      </w:pPr>
      <w:r>
        <w:rPr>
          <w:sz w:val="23"/>
          <w:szCs w:val="23"/>
        </w:rPr>
        <w:t xml:space="preserve">Company B has a 28 February 2021 FYE, meaning that its first provisional tax payment will fall during the </w:t>
      </w:r>
      <w:r w:rsidRPr="00FB0EBF">
        <w:rPr>
          <w:sz w:val="23"/>
          <w:szCs w:val="23"/>
        </w:rPr>
        <w:t>temporary period. As such, the first provisional tax payment (due by 31 August 2020) will be R120 000 (15% of its estimated total tax liability of R800 000 for the year) instead of R400 000, allowing temporary relief of R280 000. As a further relief measure only 50% of the estimated tax liability (R400 000) will be due by 28 February 2021, so that the cumulative total tax paid at that point is 65% of the estimated total tax liability. The remaining balance of R280 000 (35% of estimated tax liability) will be due by 30 September 2021 in order to avoid interest charges.</w:t>
      </w:r>
    </w:p>
    <w:p w14:paraId="343B4FF7" w14:textId="50CED05C" w:rsidR="00FB0EBF" w:rsidRDefault="00FB0EBF" w:rsidP="0075426D">
      <w:pPr>
        <w:pStyle w:val="Default"/>
        <w:spacing w:line="360" w:lineRule="auto"/>
        <w:jc w:val="both"/>
        <w:rPr>
          <w:sz w:val="23"/>
          <w:szCs w:val="23"/>
        </w:rPr>
      </w:pPr>
    </w:p>
    <w:p w14:paraId="527CDFA6" w14:textId="49EAC7AF" w:rsidR="00DE71C5" w:rsidRDefault="00DE71C5" w:rsidP="0075426D">
      <w:pPr>
        <w:pStyle w:val="Default"/>
        <w:spacing w:line="360" w:lineRule="auto"/>
        <w:jc w:val="both"/>
        <w:rPr>
          <w:sz w:val="23"/>
          <w:szCs w:val="23"/>
        </w:rPr>
      </w:pPr>
      <w:r>
        <w:rPr>
          <w:sz w:val="23"/>
          <w:szCs w:val="23"/>
        </w:rPr>
        <w:t xml:space="preserve">The table below provides an illustrative example of the calculation of the provisional deferral for two Company A and Company B. </w:t>
      </w:r>
    </w:p>
    <w:p w14:paraId="291C3151" w14:textId="3A3F6EA3" w:rsidR="00DE71C5" w:rsidRDefault="00DE71C5" w:rsidP="0075426D">
      <w:pPr>
        <w:pStyle w:val="Default"/>
        <w:spacing w:line="360" w:lineRule="auto"/>
        <w:jc w:val="both"/>
        <w:rPr>
          <w:sz w:val="23"/>
          <w:szCs w:val="23"/>
        </w:rPr>
      </w:pPr>
      <w:r>
        <w:rPr>
          <w:b/>
          <w:bCs/>
          <w:sz w:val="23"/>
          <w:szCs w:val="23"/>
        </w:rPr>
        <w:t>Table</w:t>
      </w:r>
      <w:r>
        <w:rPr>
          <w:sz w:val="23"/>
          <w:szCs w:val="23"/>
        </w:rPr>
        <w:t>: Calculation of deferral for Company A &amp; Company B</w:t>
      </w:r>
    </w:p>
    <w:p w14:paraId="6A0D8300" w14:textId="77777777" w:rsidR="004F2EA8" w:rsidRDefault="004F2EA8" w:rsidP="0075426D">
      <w:pPr>
        <w:pStyle w:val="Default"/>
        <w:spacing w:line="360" w:lineRule="auto"/>
        <w:jc w:val="both"/>
        <w:rPr>
          <w:sz w:val="23"/>
          <w:szCs w:val="23"/>
        </w:rPr>
      </w:pPr>
    </w:p>
    <w:p w14:paraId="23678479" w14:textId="1B850FE0" w:rsidR="004F2EA8" w:rsidRDefault="00400B6A" w:rsidP="0075426D">
      <w:pPr>
        <w:pStyle w:val="Default"/>
        <w:spacing w:line="360" w:lineRule="auto"/>
        <w:jc w:val="both"/>
        <w:rPr>
          <w:sz w:val="23"/>
          <w:szCs w:val="23"/>
        </w:rPr>
      </w:pPr>
      <w:r w:rsidRPr="00400B6A">
        <w:drawing>
          <wp:inline distT="0" distB="0" distL="0" distR="0" wp14:anchorId="0156F226" wp14:editId="11CA5E01">
            <wp:extent cx="4947920" cy="2997835"/>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47920" cy="2997835"/>
                    </a:xfrm>
                    <a:prstGeom prst="rect">
                      <a:avLst/>
                    </a:prstGeom>
                    <a:noFill/>
                    <a:ln>
                      <a:noFill/>
                    </a:ln>
                  </pic:spPr>
                </pic:pic>
              </a:graphicData>
            </a:graphic>
          </wp:inline>
        </w:drawing>
      </w:r>
    </w:p>
    <w:p w14:paraId="5E8E4682" w14:textId="77777777" w:rsidR="007D79EA" w:rsidRPr="007D79EA" w:rsidRDefault="007D79EA" w:rsidP="0075426D">
      <w:pPr>
        <w:tabs>
          <w:tab w:val="left" w:pos="4580"/>
        </w:tabs>
        <w:spacing w:line="360" w:lineRule="auto"/>
        <w:jc w:val="both"/>
        <w:rPr>
          <w:rFonts w:cs="Arial"/>
          <w:szCs w:val="22"/>
          <w:lang w:val="en-ZA"/>
        </w:rPr>
      </w:pPr>
    </w:p>
    <w:p w14:paraId="0DBD352B" w14:textId="77777777" w:rsidR="00400B6A" w:rsidRDefault="00400B6A" w:rsidP="0075426D">
      <w:pPr>
        <w:pStyle w:val="Default"/>
        <w:spacing w:line="360" w:lineRule="auto"/>
        <w:jc w:val="both"/>
      </w:pPr>
    </w:p>
    <w:p w14:paraId="50407B94" w14:textId="16751D7E" w:rsidR="00400B6A" w:rsidRDefault="00400B6A" w:rsidP="0075426D">
      <w:pPr>
        <w:pStyle w:val="Default"/>
        <w:spacing w:line="360" w:lineRule="auto"/>
        <w:jc w:val="both"/>
        <w:rPr>
          <w:sz w:val="23"/>
          <w:szCs w:val="23"/>
        </w:rPr>
      </w:pPr>
      <w:r>
        <w:rPr>
          <w:sz w:val="23"/>
          <w:szCs w:val="23"/>
        </w:rPr>
        <w:lastRenderedPageBreak/>
        <w:t xml:space="preserve">2.3.10. The proposed amendments are deemed to have come into operation on 1 April 2020. They apply to first provisional tax periods ending on or after 1 April 2020 but before 1 October 2020 and to second provisional tax periods ending on or after 1 April 2020 but before 1 April 2021. </w:t>
      </w:r>
    </w:p>
    <w:p w14:paraId="471F2F0F" w14:textId="77777777" w:rsidR="00400B6A" w:rsidRDefault="00400B6A" w:rsidP="0075426D">
      <w:pPr>
        <w:pStyle w:val="Default"/>
        <w:spacing w:line="360" w:lineRule="auto"/>
        <w:jc w:val="both"/>
      </w:pPr>
    </w:p>
    <w:p w14:paraId="125D350F" w14:textId="77777777" w:rsidR="00400B6A" w:rsidRDefault="00400B6A" w:rsidP="0075426D">
      <w:pPr>
        <w:pStyle w:val="Default"/>
        <w:spacing w:line="360" w:lineRule="auto"/>
        <w:jc w:val="both"/>
        <w:rPr>
          <w:sz w:val="23"/>
          <w:szCs w:val="23"/>
        </w:rPr>
      </w:pPr>
      <w:r>
        <w:rPr>
          <w:sz w:val="23"/>
          <w:szCs w:val="23"/>
        </w:rPr>
        <w:t xml:space="preserve">2.4. </w:t>
      </w:r>
      <w:r>
        <w:rPr>
          <w:b/>
          <w:bCs/>
          <w:sz w:val="23"/>
          <w:szCs w:val="23"/>
        </w:rPr>
        <w:t xml:space="preserve">DEFERRAL OF INTERIM PAYMENTS (CLAUSE 4) </w:t>
      </w:r>
    </w:p>
    <w:p w14:paraId="6563CA12" w14:textId="77777777" w:rsidR="004D7FC1" w:rsidRDefault="004D7FC1" w:rsidP="0075426D">
      <w:pPr>
        <w:pStyle w:val="Default"/>
        <w:spacing w:line="360" w:lineRule="auto"/>
        <w:jc w:val="both"/>
      </w:pPr>
    </w:p>
    <w:p w14:paraId="404BEF94" w14:textId="77777777" w:rsidR="004D7FC1" w:rsidRDefault="004D7FC1" w:rsidP="0075426D">
      <w:pPr>
        <w:pStyle w:val="Default"/>
        <w:spacing w:after="417" w:line="360" w:lineRule="auto"/>
        <w:jc w:val="both"/>
        <w:rPr>
          <w:sz w:val="23"/>
          <w:szCs w:val="23"/>
        </w:rPr>
      </w:pPr>
      <w:r>
        <w:rPr>
          <w:sz w:val="23"/>
          <w:szCs w:val="23"/>
        </w:rPr>
        <w:t xml:space="preserve">2.4.1. Similar relief to the 15% and 65% relief </w:t>
      </w:r>
      <w:proofErr w:type="gramStart"/>
      <w:r>
        <w:rPr>
          <w:sz w:val="23"/>
          <w:szCs w:val="23"/>
        </w:rPr>
        <w:t>with regard to</w:t>
      </w:r>
      <w:proofErr w:type="gramEnd"/>
      <w:r>
        <w:rPr>
          <w:sz w:val="23"/>
          <w:szCs w:val="23"/>
        </w:rPr>
        <w:t xml:space="preserve"> provisional tax payments is provided for qualifying micro businesses with regard to interim payments due and payable in terms of paragraph 11 of the Sixth Schedule to the Income Tax Act. </w:t>
      </w:r>
    </w:p>
    <w:p w14:paraId="3C32CED7" w14:textId="77777777" w:rsidR="004D7FC1" w:rsidRDefault="004D7FC1" w:rsidP="0075426D">
      <w:pPr>
        <w:pStyle w:val="Default"/>
        <w:spacing w:after="417" w:line="360" w:lineRule="auto"/>
        <w:jc w:val="both"/>
        <w:rPr>
          <w:sz w:val="23"/>
          <w:szCs w:val="23"/>
        </w:rPr>
      </w:pPr>
      <w:r>
        <w:rPr>
          <w:sz w:val="23"/>
          <w:szCs w:val="23"/>
        </w:rPr>
        <w:t xml:space="preserve">2.4.2. In terms of paragraph 11(6) of the Sixth Schedule, penalty relief will be granted on the deferred interim payments and no interest under paragraph 11(3) or (5) of the Sixth Schedule will be levied on deferred interim payments that are payable on assessment. </w:t>
      </w:r>
    </w:p>
    <w:p w14:paraId="55B65DE8" w14:textId="77777777" w:rsidR="004D7FC1" w:rsidRDefault="004D7FC1" w:rsidP="0075426D">
      <w:pPr>
        <w:pStyle w:val="Default"/>
        <w:spacing w:after="417" w:line="360" w:lineRule="auto"/>
        <w:jc w:val="both"/>
        <w:rPr>
          <w:sz w:val="23"/>
          <w:szCs w:val="23"/>
        </w:rPr>
      </w:pPr>
      <w:r>
        <w:rPr>
          <w:sz w:val="23"/>
          <w:szCs w:val="23"/>
        </w:rPr>
        <w:t xml:space="preserve">2.4.3. The above-mentioned proposals will not apply to a micro business that— </w:t>
      </w:r>
    </w:p>
    <w:p w14:paraId="0435F24A" w14:textId="315CF1D6" w:rsidR="004D7FC1" w:rsidRDefault="004D7FC1" w:rsidP="0075426D">
      <w:pPr>
        <w:pStyle w:val="Default"/>
        <w:spacing w:after="417" w:line="360" w:lineRule="auto"/>
        <w:jc w:val="both"/>
        <w:rPr>
          <w:sz w:val="23"/>
          <w:szCs w:val="23"/>
        </w:rPr>
      </w:pPr>
      <w:r>
        <w:rPr>
          <w:sz w:val="23"/>
          <w:szCs w:val="23"/>
        </w:rPr>
        <w:t xml:space="preserve">2.4.3.1. has failed to submit any return as defined in section 1 of the TAA as required by section 25 of the TAA; or </w:t>
      </w:r>
    </w:p>
    <w:p w14:paraId="5605A377" w14:textId="4EADCBA9" w:rsidR="004D7FC1" w:rsidRDefault="004D7FC1" w:rsidP="0075426D">
      <w:pPr>
        <w:pStyle w:val="Default"/>
        <w:spacing w:line="360" w:lineRule="auto"/>
        <w:jc w:val="both"/>
        <w:rPr>
          <w:sz w:val="23"/>
          <w:szCs w:val="23"/>
        </w:rPr>
      </w:pPr>
      <w:r>
        <w:rPr>
          <w:sz w:val="23"/>
          <w:szCs w:val="23"/>
        </w:rPr>
        <w:t xml:space="preserve">2.4.3.2. has any outstanding tax debt as defined in section 1 of the TAA, but excluding a tax debt— </w:t>
      </w:r>
    </w:p>
    <w:p w14:paraId="7C6AF512" w14:textId="77777777" w:rsidR="00FF4E92" w:rsidRDefault="00FF4E92" w:rsidP="0075426D">
      <w:pPr>
        <w:pStyle w:val="Default"/>
        <w:spacing w:line="360" w:lineRule="auto"/>
        <w:jc w:val="both"/>
        <w:rPr>
          <w:sz w:val="23"/>
          <w:szCs w:val="23"/>
        </w:rPr>
      </w:pPr>
    </w:p>
    <w:p w14:paraId="29E868CB" w14:textId="0623D418" w:rsidR="004D7FC1" w:rsidRDefault="004D7FC1" w:rsidP="0075426D">
      <w:pPr>
        <w:pStyle w:val="Default"/>
        <w:spacing w:line="360" w:lineRule="auto"/>
        <w:jc w:val="both"/>
        <w:rPr>
          <w:sz w:val="23"/>
          <w:szCs w:val="23"/>
        </w:rPr>
      </w:pPr>
      <w:r>
        <w:rPr>
          <w:sz w:val="23"/>
          <w:szCs w:val="23"/>
        </w:rPr>
        <w:t xml:space="preserve">2.4.3.2.1. in respect of which an agreement has been entered into in accordance with section 167 or 204 of the </w:t>
      </w:r>
      <w:proofErr w:type="gramStart"/>
      <w:r>
        <w:rPr>
          <w:sz w:val="23"/>
          <w:szCs w:val="23"/>
        </w:rPr>
        <w:t>TAA;</w:t>
      </w:r>
      <w:proofErr w:type="gramEnd"/>
      <w:r>
        <w:rPr>
          <w:sz w:val="23"/>
          <w:szCs w:val="23"/>
        </w:rPr>
        <w:t xml:space="preserve"> </w:t>
      </w:r>
    </w:p>
    <w:p w14:paraId="278C5BE3" w14:textId="77777777" w:rsidR="00FF4E92" w:rsidRDefault="00FF4E92" w:rsidP="0075426D">
      <w:pPr>
        <w:pStyle w:val="Default"/>
        <w:spacing w:line="360" w:lineRule="auto"/>
        <w:jc w:val="both"/>
        <w:rPr>
          <w:sz w:val="23"/>
          <w:szCs w:val="23"/>
        </w:rPr>
      </w:pPr>
    </w:p>
    <w:p w14:paraId="5069119B" w14:textId="08A637A3" w:rsidR="00FF4E92" w:rsidRDefault="00FF4E92" w:rsidP="0075426D">
      <w:pPr>
        <w:pStyle w:val="Default"/>
        <w:spacing w:line="360" w:lineRule="auto"/>
        <w:jc w:val="both"/>
        <w:rPr>
          <w:sz w:val="23"/>
          <w:szCs w:val="23"/>
        </w:rPr>
      </w:pPr>
      <w:r w:rsidRPr="00FF4E92">
        <w:rPr>
          <w:sz w:val="23"/>
          <w:szCs w:val="23"/>
        </w:rPr>
        <w:t>2.4.3.2.2. that has been suspended in terms of section 164 of the TAA; or</w:t>
      </w:r>
    </w:p>
    <w:p w14:paraId="6BB126A1" w14:textId="77777777" w:rsidR="00FF4E92" w:rsidRPr="00FF4E92" w:rsidRDefault="00FF4E92" w:rsidP="0075426D">
      <w:pPr>
        <w:pStyle w:val="Default"/>
        <w:spacing w:line="360" w:lineRule="auto"/>
        <w:jc w:val="both"/>
        <w:rPr>
          <w:sz w:val="23"/>
          <w:szCs w:val="23"/>
        </w:rPr>
      </w:pPr>
    </w:p>
    <w:p w14:paraId="54090F4F" w14:textId="69D55813" w:rsidR="004D7FC1" w:rsidRDefault="00FF4E92" w:rsidP="0075426D">
      <w:pPr>
        <w:pStyle w:val="Default"/>
        <w:spacing w:line="360" w:lineRule="auto"/>
        <w:jc w:val="both"/>
        <w:rPr>
          <w:sz w:val="23"/>
          <w:szCs w:val="23"/>
        </w:rPr>
      </w:pPr>
      <w:r w:rsidRPr="00FF4E92">
        <w:rPr>
          <w:sz w:val="23"/>
          <w:szCs w:val="23"/>
        </w:rPr>
        <w:t>2.4.3.2.3. that does not exceed the amount referred to in section 169(4) of the TAA.</w:t>
      </w:r>
    </w:p>
    <w:p w14:paraId="3DBF8F83" w14:textId="77777777" w:rsidR="00FF4E92" w:rsidRDefault="00FF4E92" w:rsidP="0075426D">
      <w:pPr>
        <w:pStyle w:val="Default"/>
        <w:spacing w:line="360" w:lineRule="auto"/>
        <w:jc w:val="both"/>
      </w:pPr>
    </w:p>
    <w:p w14:paraId="78F16C54" w14:textId="77777777" w:rsidR="00FF4E92" w:rsidRDefault="00FF4E92" w:rsidP="0075426D">
      <w:pPr>
        <w:pStyle w:val="Default"/>
        <w:spacing w:line="360" w:lineRule="auto"/>
        <w:jc w:val="both"/>
        <w:rPr>
          <w:sz w:val="23"/>
          <w:szCs w:val="23"/>
        </w:rPr>
      </w:pPr>
      <w:r>
        <w:rPr>
          <w:sz w:val="23"/>
          <w:szCs w:val="23"/>
        </w:rPr>
        <w:t xml:space="preserve">2.4.4. However, penalties and interest will apply in instances where, upon assessment, it is discovered that a micro business does not qualify for relief under the proposed amendments. The usual procedures for requests for remittance of such penalties will be available in such cases. </w:t>
      </w:r>
    </w:p>
    <w:p w14:paraId="0DB7B7D8" w14:textId="77777777" w:rsidR="00FF4E92" w:rsidRDefault="00FF4E92" w:rsidP="0075426D">
      <w:pPr>
        <w:pStyle w:val="Default"/>
        <w:spacing w:line="360" w:lineRule="auto"/>
        <w:jc w:val="both"/>
      </w:pPr>
    </w:p>
    <w:p w14:paraId="5C148B85" w14:textId="77777777" w:rsidR="00FF4E92" w:rsidRDefault="00FF4E92" w:rsidP="0075426D">
      <w:pPr>
        <w:pStyle w:val="Default"/>
        <w:spacing w:line="360" w:lineRule="auto"/>
        <w:jc w:val="both"/>
        <w:rPr>
          <w:sz w:val="23"/>
          <w:szCs w:val="23"/>
        </w:rPr>
      </w:pPr>
      <w:r>
        <w:rPr>
          <w:sz w:val="23"/>
          <w:szCs w:val="23"/>
        </w:rPr>
        <w:t xml:space="preserve">2.5. </w:t>
      </w:r>
      <w:r>
        <w:rPr>
          <w:b/>
          <w:bCs/>
          <w:sz w:val="23"/>
          <w:szCs w:val="23"/>
        </w:rPr>
        <w:t xml:space="preserve">DONATIONS TO SOLIDARITY FUND (CLAUSE 5) </w:t>
      </w:r>
    </w:p>
    <w:p w14:paraId="1B39540C" w14:textId="77777777" w:rsidR="00FF4E92" w:rsidRDefault="00FF4E92" w:rsidP="0075426D">
      <w:pPr>
        <w:pStyle w:val="Default"/>
        <w:spacing w:line="360" w:lineRule="auto"/>
        <w:jc w:val="both"/>
        <w:rPr>
          <w:sz w:val="23"/>
          <w:szCs w:val="23"/>
        </w:rPr>
      </w:pPr>
    </w:p>
    <w:p w14:paraId="34EF9ADC" w14:textId="77777777" w:rsidR="00FD05E1" w:rsidRDefault="00FD05E1" w:rsidP="0075426D">
      <w:pPr>
        <w:pStyle w:val="Default"/>
        <w:spacing w:line="360" w:lineRule="auto"/>
        <w:jc w:val="both"/>
      </w:pPr>
    </w:p>
    <w:p w14:paraId="240591BC" w14:textId="0C0E8E47" w:rsidR="00FD05E1" w:rsidRDefault="00FD05E1" w:rsidP="0075426D">
      <w:pPr>
        <w:pStyle w:val="Default"/>
        <w:spacing w:line="360" w:lineRule="auto"/>
        <w:jc w:val="both"/>
        <w:rPr>
          <w:sz w:val="23"/>
          <w:szCs w:val="23"/>
        </w:rPr>
      </w:pPr>
      <w:r>
        <w:rPr>
          <w:sz w:val="23"/>
          <w:szCs w:val="23"/>
        </w:rPr>
        <w:lastRenderedPageBreak/>
        <w:t xml:space="preserve">2.5.1. The COVID-19 pandemic has led to the establishment of the Solidarity Fund to provide relief focused on the impact of COVID-19. The Solidarity Fund is an approved Public Benefit Organisation that has also been approved under section 18A of the Income Tax Act. Donations to this fund therefore qualify for deduction in determining a person’s taxable income. Due to the exceptional circumstances presented by the COVID-19 pandemic South Africans have been called upon to contribute to the Solidarity Fund. </w:t>
      </w:r>
    </w:p>
    <w:p w14:paraId="5E32F616" w14:textId="77777777" w:rsidR="00FD05E1" w:rsidRDefault="00FD05E1" w:rsidP="0075426D">
      <w:pPr>
        <w:pStyle w:val="Default"/>
        <w:spacing w:line="360" w:lineRule="auto"/>
        <w:jc w:val="both"/>
      </w:pPr>
    </w:p>
    <w:p w14:paraId="67C258F2" w14:textId="3E422500" w:rsidR="00FD05E1" w:rsidRDefault="00FD05E1" w:rsidP="0075426D">
      <w:pPr>
        <w:pStyle w:val="Default"/>
        <w:spacing w:line="360" w:lineRule="auto"/>
        <w:jc w:val="both"/>
        <w:rPr>
          <w:sz w:val="23"/>
          <w:szCs w:val="23"/>
        </w:rPr>
      </w:pPr>
      <w:r>
        <w:rPr>
          <w:sz w:val="23"/>
          <w:szCs w:val="23"/>
        </w:rPr>
        <w:t xml:space="preserve">2.5.2. The President stated, in his address to the nation on 9 April 2020, that a range of office bearers would take a one-third cut in their salaries for three months and that this portion of their salaries would be donated to the Solidarity Fund. </w:t>
      </w:r>
      <w:proofErr w:type="gramStart"/>
      <w:r>
        <w:rPr>
          <w:sz w:val="23"/>
          <w:szCs w:val="23"/>
        </w:rPr>
        <w:t>A number of</w:t>
      </w:r>
      <w:proofErr w:type="gramEnd"/>
      <w:r>
        <w:rPr>
          <w:sz w:val="23"/>
          <w:szCs w:val="23"/>
        </w:rPr>
        <w:t xml:space="preserve"> private sector entities have subsequently indicated that they would be </w:t>
      </w:r>
      <w:r w:rsidRPr="00FD05E1">
        <w:rPr>
          <w:sz w:val="23"/>
          <w:szCs w:val="23"/>
        </w:rPr>
        <w:t xml:space="preserve">following suit. While it is often open to employers and employees to renegotiate employment contracts, so that the relevant amounts do not accrue to the employees for tax purposes, this is not always possible. Where this is not possible, donations to the Solidarity Fund for which a section 18A receipt has been issued may be </w:t>
      </w:r>
      <w:proofErr w:type="gramStart"/>
      <w:r w:rsidRPr="00FD05E1">
        <w:rPr>
          <w:sz w:val="23"/>
          <w:szCs w:val="23"/>
        </w:rPr>
        <w:t>taken into account</w:t>
      </w:r>
      <w:proofErr w:type="gramEnd"/>
      <w:r w:rsidRPr="00FD05E1">
        <w:rPr>
          <w:sz w:val="23"/>
          <w:szCs w:val="23"/>
        </w:rPr>
        <w:t xml:space="preserve"> on assessment.</w:t>
      </w:r>
    </w:p>
    <w:p w14:paraId="1DC32852" w14:textId="77777777" w:rsidR="00FD05E1" w:rsidRDefault="00FD05E1" w:rsidP="0075426D">
      <w:pPr>
        <w:pStyle w:val="Default"/>
        <w:spacing w:line="360" w:lineRule="auto"/>
        <w:jc w:val="both"/>
      </w:pPr>
    </w:p>
    <w:p w14:paraId="73C8EFE1" w14:textId="76668165" w:rsidR="00FD05E1" w:rsidRDefault="00FD05E1" w:rsidP="0075426D">
      <w:pPr>
        <w:pStyle w:val="Default"/>
        <w:spacing w:line="360" w:lineRule="auto"/>
        <w:jc w:val="both"/>
        <w:rPr>
          <w:sz w:val="23"/>
          <w:szCs w:val="23"/>
        </w:rPr>
      </w:pPr>
      <w:r>
        <w:rPr>
          <w:sz w:val="23"/>
          <w:szCs w:val="23"/>
        </w:rPr>
        <w:t>2.5.3. In order to assist with payroll giving initiatives, paragraph 2(4)</w:t>
      </w:r>
      <w:r>
        <w:rPr>
          <w:i/>
          <w:iCs/>
          <w:sz w:val="23"/>
          <w:szCs w:val="23"/>
        </w:rPr>
        <w:t xml:space="preserve">(f) </w:t>
      </w:r>
      <w:r>
        <w:rPr>
          <w:sz w:val="23"/>
          <w:szCs w:val="23"/>
        </w:rPr>
        <w:t xml:space="preserve">of the Fourth Schedule to the Income Tax Act currently permits donations of up to 5% of remuneration to be taken into account for employees’ tax purposes where an employer makes the contributions on employees’ behalf. </w:t>
      </w:r>
    </w:p>
    <w:p w14:paraId="04EFD00A" w14:textId="77777777" w:rsidR="00590B08" w:rsidRDefault="00590B08" w:rsidP="0075426D">
      <w:pPr>
        <w:pStyle w:val="Default"/>
        <w:spacing w:line="360" w:lineRule="auto"/>
        <w:jc w:val="both"/>
      </w:pPr>
    </w:p>
    <w:p w14:paraId="7F0CBEC2" w14:textId="77777777" w:rsidR="00590B08" w:rsidRDefault="00590B08" w:rsidP="0075426D">
      <w:pPr>
        <w:pStyle w:val="Default"/>
        <w:spacing w:after="416" w:line="360" w:lineRule="auto"/>
        <w:jc w:val="both"/>
        <w:rPr>
          <w:sz w:val="23"/>
          <w:szCs w:val="23"/>
        </w:rPr>
      </w:pPr>
      <w:r>
        <w:rPr>
          <w:sz w:val="23"/>
          <w:szCs w:val="23"/>
        </w:rPr>
        <w:t xml:space="preserve">2.5.4. To alleviate the cashflow difficulties of employees where their employers contribute to the Solidarity Fund on their behalf, Government is proposing a special relief measure by temporarily increasing the current 5% tax limit in the calculation of monthly PAYE of the employee. An additional limit of up to a maximum of 33.3% for three months or 16.66% for six months, depending on an employee’s circumstances, will be available. </w:t>
      </w:r>
    </w:p>
    <w:p w14:paraId="575E2763" w14:textId="0BC95F3F" w:rsidR="00590B08" w:rsidRPr="00590B08" w:rsidRDefault="00590B08" w:rsidP="0075426D">
      <w:pPr>
        <w:pStyle w:val="Default"/>
        <w:spacing w:line="360" w:lineRule="auto"/>
        <w:jc w:val="both"/>
      </w:pPr>
      <w:r>
        <w:rPr>
          <w:sz w:val="23"/>
          <w:szCs w:val="23"/>
        </w:rPr>
        <w:t xml:space="preserve">2.5.5. This will ensure that the employee gets the deduction that is in excess of 5% much earlier than under normal circumstances and the employee will therefore not have to wait until final assessment to claim a potential refund, provided the donation is made to the Solidarity Fund. It is, however, important to note that a final determination must still be made upon assessment as the employee may have other income, deductions or losses that impact the final taxable income before the deduction of donations. </w:t>
      </w:r>
    </w:p>
    <w:p w14:paraId="0B4CE6B9" w14:textId="77777777" w:rsidR="00590B08" w:rsidRDefault="00590B08" w:rsidP="0075426D">
      <w:pPr>
        <w:pStyle w:val="Default"/>
        <w:spacing w:line="360" w:lineRule="auto"/>
        <w:jc w:val="both"/>
      </w:pPr>
    </w:p>
    <w:p w14:paraId="4841FF69" w14:textId="5D441412" w:rsidR="00AC0638" w:rsidRDefault="00590B08" w:rsidP="0075426D">
      <w:pPr>
        <w:pStyle w:val="Default"/>
        <w:spacing w:line="360" w:lineRule="auto"/>
        <w:jc w:val="both"/>
        <w:rPr>
          <w:sz w:val="23"/>
          <w:szCs w:val="23"/>
        </w:rPr>
      </w:pPr>
      <w:r>
        <w:rPr>
          <w:sz w:val="23"/>
          <w:szCs w:val="23"/>
        </w:rPr>
        <w:t xml:space="preserve">2.5.6. The proposed amendments are deemed to have come into operation on 1 April 2020 and apply until 30 September 2020. </w:t>
      </w:r>
    </w:p>
    <w:p w14:paraId="17C2D3D4" w14:textId="77777777" w:rsidR="0079711A" w:rsidRPr="0079711A" w:rsidRDefault="0079711A" w:rsidP="0075426D">
      <w:pPr>
        <w:pStyle w:val="Default"/>
        <w:spacing w:line="360" w:lineRule="auto"/>
        <w:jc w:val="both"/>
        <w:rPr>
          <w:sz w:val="23"/>
          <w:szCs w:val="23"/>
        </w:rPr>
      </w:pPr>
    </w:p>
    <w:p w14:paraId="26F03277" w14:textId="77777777" w:rsidR="00AC0638" w:rsidRDefault="00AC0638" w:rsidP="0075426D">
      <w:pPr>
        <w:pStyle w:val="Default"/>
        <w:spacing w:line="360" w:lineRule="auto"/>
        <w:jc w:val="both"/>
        <w:rPr>
          <w:sz w:val="23"/>
          <w:szCs w:val="23"/>
        </w:rPr>
      </w:pPr>
      <w:r>
        <w:rPr>
          <w:sz w:val="23"/>
          <w:szCs w:val="23"/>
        </w:rPr>
        <w:t xml:space="preserve">2.6. </w:t>
      </w:r>
      <w:r>
        <w:rPr>
          <w:b/>
          <w:bCs/>
          <w:sz w:val="23"/>
          <w:szCs w:val="23"/>
        </w:rPr>
        <w:t xml:space="preserve">CHANGE IN VALUE-ADDED TAX CATEGORY (CLAUSE 6) </w:t>
      </w:r>
    </w:p>
    <w:p w14:paraId="07B97B59" w14:textId="77777777" w:rsidR="00AC0638" w:rsidRDefault="00AC0638" w:rsidP="0075426D">
      <w:pPr>
        <w:pStyle w:val="Default"/>
        <w:spacing w:line="360" w:lineRule="auto"/>
        <w:jc w:val="both"/>
      </w:pPr>
    </w:p>
    <w:p w14:paraId="71BDCB3D" w14:textId="77777777" w:rsidR="00AC0638" w:rsidRDefault="00AC0638" w:rsidP="0075426D">
      <w:pPr>
        <w:pStyle w:val="Default"/>
        <w:spacing w:after="416" w:line="360" w:lineRule="auto"/>
        <w:jc w:val="both"/>
        <w:rPr>
          <w:sz w:val="23"/>
          <w:szCs w:val="23"/>
        </w:rPr>
      </w:pPr>
      <w:r>
        <w:rPr>
          <w:sz w:val="23"/>
          <w:szCs w:val="23"/>
        </w:rPr>
        <w:t xml:space="preserve">2.6.1. Vendors are required to submit VAT returns and account for VAT according to the tax period that has been allocated to the vendor by SARS. In terms of section 27 of the Value-Added Tax Act (the VAT Act), vendors are generally required to register for VAT under Category A or B which provide for returns to be submitted bi-monthly. This standard tax period requires the vendor to submit one return for every two calendar months. </w:t>
      </w:r>
    </w:p>
    <w:p w14:paraId="192ACF0F" w14:textId="77777777" w:rsidR="00AC0638" w:rsidRDefault="00AC0638" w:rsidP="0075426D">
      <w:pPr>
        <w:pStyle w:val="Default"/>
        <w:spacing w:after="416" w:line="360" w:lineRule="auto"/>
        <w:jc w:val="both"/>
        <w:rPr>
          <w:sz w:val="23"/>
          <w:szCs w:val="23"/>
        </w:rPr>
      </w:pPr>
      <w:r>
        <w:rPr>
          <w:sz w:val="23"/>
          <w:szCs w:val="23"/>
        </w:rPr>
        <w:t xml:space="preserve">2.6.2. The exceptions are vendors that fall under Category C, D or E. Vendors registered under Category C file returns and account for VAT on a monthly basis. This category is generally applicable to vendors making supplies of over R30 million per annum. </w:t>
      </w:r>
    </w:p>
    <w:p w14:paraId="19826D78" w14:textId="2828A6F9" w:rsidR="00AC0638" w:rsidRDefault="00AC0638" w:rsidP="0075426D">
      <w:pPr>
        <w:pStyle w:val="Default"/>
        <w:spacing w:line="360" w:lineRule="auto"/>
        <w:jc w:val="both"/>
        <w:rPr>
          <w:sz w:val="23"/>
          <w:szCs w:val="23"/>
        </w:rPr>
      </w:pPr>
      <w:r>
        <w:rPr>
          <w:sz w:val="23"/>
          <w:szCs w:val="23"/>
        </w:rPr>
        <w:t>2.6.3. In terms of section 27(3)</w:t>
      </w:r>
      <w:r>
        <w:rPr>
          <w:i/>
          <w:iCs/>
          <w:sz w:val="23"/>
          <w:szCs w:val="23"/>
        </w:rPr>
        <w:t xml:space="preserve">(b) </w:t>
      </w:r>
      <w:r>
        <w:rPr>
          <w:sz w:val="23"/>
          <w:szCs w:val="23"/>
        </w:rPr>
        <w:t xml:space="preserve">a vendor may apply in writing to the Commissioner to be registered under Category C, thereby permitting such vendor to file and account for VAT on a monthly basis. This change in category must be </w:t>
      </w:r>
      <w:proofErr w:type="gramStart"/>
      <w:r>
        <w:rPr>
          <w:sz w:val="23"/>
          <w:szCs w:val="23"/>
        </w:rPr>
        <w:t>effected</w:t>
      </w:r>
      <w:proofErr w:type="gramEnd"/>
      <w:r>
        <w:rPr>
          <w:sz w:val="23"/>
          <w:szCs w:val="23"/>
        </w:rPr>
        <w:t xml:space="preserve"> via an application that must be made to SARS by the vendor in writing. This approach provides vendors with the option of changing their filing category to monthly. </w:t>
      </w:r>
    </w:p>
    <w:p w14:paraId="6AC54A6B" w14:textId="77777777" w:rsidR="00AC0638" w:rsidRDefault="00AC0638" w:rsidP="0075426D">
      <w:pPr>
        <w:pStyle w:val="Default"/>
        <w:spacing w:line="360" w:lineRule="auto"/>
        <w:jc w:val="both"/>
      </w:pPr>
    </w:p>
    <w:p w14:paraId="2DC4EBE6" w14:textId="77777777" w:rsidR="00AC0638" w:rsidRDefault="00AC0638" w:rsidP="0075426D">
      <w:pPr>
        <w:pStyle w:val="Default"/>
        <w:spacing w:after="416" w:line="360" w:lineRule="auto"/>
        <w:jc w:val="both"/>
        <w:rPr>
          <w:sz w:val="23"/>
          <w:szCs w:val="23"/>
        </w:rPr>
      </w:pPr>
      <w:r>
        <w:rPr>
          <w:sz w:val="23"/>
          <w:szCs w:val="23"/>
        </w:rPr>
        <w:t xml:space="preserve">2.6.4. In order to assist businesses, the proposal is to temporarily permit vendors to file their returns monthly (by exercising an option without the need to apply in writing to the Commissioner), while still technically remaining under Category A or B. This option will be made available to all Category A and B vendors who may choose to temporarily file their VAT returns monthly or continue to file bi-monthly returns. The purpose of the measure is to assist businesses with liquidity by filing VAT returns more frequently to obtain refunds due. </w:t>
      </w:r>
    </w:p>
    <w:p w14:paraId="769AA84C" w14:textId="77777777" w:rsidR="00AC0638" w:rsidRDefault="00AC0638" w:rsidP="0075426D">
      <w:pPr>
        <w:pStyle w:val="Default"/>
        <w:spacing w:after="416" w:line="360" w:lineRule="auto"/>
        <w:jc w:val="both"/>
        <w:rPr>
          <w:sz w:val="23"/>
          <w:szCs w:val="23"/>
        </w:rPr>
      </w:pPr>
      <w:r>
        <w:rPr>
          <w:sz w:val="23"/>
          <w:szCs w:val="23"/>
        </w:rPr>
        <w:t>2.6.5. This proposal will benefit vendors that are in a net refund position, thereby improving the cashflow situation of such businesses. It is proposed that this filing option be effective for a limited maximum of 4 tax periods to assist during this crisis period. After this period, vendors registered under Category A or B will no longer be able to file returns on a monthly basis, unless such vendor makes an application to SARS for a change in category in terms of section 27(3)</w:t>
      </w:r>
      <w:r>
        <w:rPr>
          <w:i/>
          <w:iCs/>
          <w:sz w:val="23"/>
          <w:szCs w:val="23"/>
        </w:rPr>
        <w:t xml:space="preserve">(b) </w:t>
      </w:r>
      <w:r>
        <w:rPr>
          <w:sz w:val="23"/>
          <w:szCs w:val="23"/>
        </w:rPr>
        <w:t xml:space="preserve">of the VAT Act. </w:t>
      </w:r>
    </w:p>
    <w:p w14:paraId="26377255" w14:textId="77777777" w:rsidR="00AC0638" w:rsidRDefault="00AC0638" w:rsidP="0075426D">
      <w:pPr>
        <w:pStyle w:val="Default"/>
        <w:spacing w:line="360" w:lineRule="auto"/>
        <w:jc w:val="both"/>
        <w:rPr>
          <w:sz w:val="23"/>
          <w:szCs w:val="23"/>
        </w:rPr>
      </w:pPr>
      <w:r>
        <w:rPr>
          <w:sz w:val="23"/>
          <w:szCs w:val="23"/>
        </w:rPr>
        <w:t xml:space="preserve">2.6.6. Category A vendors will be permitted to file monthly returns for the April and May tax periods and June and July 2020 tax periods, should such vendor choose to do so. Category B vendors will be permitted to file monthly returns for the May and June tax periods and July 2020 tax period, </w:t>
      </w:r>
      <w:r>
        <w:rPr>
          <w:sz w:val="23"/>
          <w:szCs w:val="23"/>
        </w:rPr>
        <w:lastRenderedPageBreak/>
        <w:t xml:space="preserve">should such vendor choose to do so. Should a Category B vendor choose to file a monthly return for July 2020, a monthly return for August 2020 will be required to return the vendor to the normal bi-monthly return cycle. </w:t>
      </w:r>
    </w:p>
    <w:p w14:paraId="010EDBCF" w14:textId="77777777" w:rsidR="00621D10" w:rsidRDefault="00621D10" w:rsidP="0075426D">
      <w:pPr>
        <w:pStyle w:val="Default"/>
        <w:spacing w:line="360" w:lineRule="auto"/>
        <w:jc w:val="both"/>
      </w:pPr>
    </w:p>
    <w:p w14:paraId="24BF8EF4" w14:textId="625A0445" w:rsidR="00621D10" w:rsidRDefault="00621D10" w:rsidP="0075426D">
      <w:pPr>
        <w:pStyle w:val="Default"/>
        <w:spacing w:line="360" w:lineRule="auto"/>
        <w:jc w:val="both"/>
        <w:rPr>
          <w:sz w:val="23"/>
          <w:szCs w:val="23"/>
        </w:rPr>
      </w:pPr>
      <w:r>
        <w:rPr>
          <w:sz w:val="23"/>
          <w:szCs w:val="23"/>
        </w:rPr>
        <w:t xml:space="preserve">2.6.7. The proposed amendments are deemed to have come into operation on 1 April 2020 and relate to the tax periods discussed in 2.6.5. and 2.6.6. </w:t>
      </w:r>
    </w:p>
    <w:p w14:paraId="454CD5EA" w14:textId="77777777" w:rsidR="00621D10" w:rsidRDefault="00621D10" w:rsidP="0075426D">
      <w:pPr>
        <w:pStyle w:val="Default"/>
        <w:spacing w:line="360" w:lineRule="auto"/>
        <w:jc w:val="both"/>
      </w:pPr>
    </w:p>
    <w:p w14:paraId="2FB7404F" w14:textId="77777777" w:rsidR="00621D10" w:rsidRDefault="00621D10" w:rsidP="0075426D">
      <w:pPr>
        <w:pStyle w:val="Default"/>
        <w:spacing w:line="360" w:lineRule="auto"/>
        <w:jc w:val="both"/>
        <w:rPr>
          <w:sz w:val="23"/>
          <w:szCs w:val="23"/>
        </w:rPr>
      </w:pPr>
      <w:r>
        <w:rPr>
          <w:sz w:val="23"/>
          <w:szCs w:val="23"/>
        </w:rPr>
        <w:t xml:space="preserve">2.7. </w:t>
      </w:r>
      <w:r>
        <w:rPr>
          <w:b/>
          <w:bCs/>
          <w:sz w:val="23"/>
          <w:szCs w:val="23"/>
        </w:rPr>
        <w:t xml:space="preserve">EXTENSION OF TIME PERIODS (CLAUSE 7) </w:t>
      </w:r>
    </w:p>
    <w:p w14:paraId="508CE42E" w14:textId="77777777" w:rsidR="00621D10" w:rsidRDefault="00621D10" w:rsidP="0075426D">
      <w:pPr>
        <w:pStyle w:val="Default"/>
        <w:spacing w:line="360" w:lineRule="auto"/>
        <w:jc w:val="both"/>
      </w:pPr>
    </w:p>
    <w:p w14:paraId="481A9266" w14:textId="77777777" w:rsidR="00621D10" w:rsidRDefault="00621D10" w:rsidP="0075426D">
      <w:pPr>
        <w:pStyle w:val="Default"/>
        <w:spacing w:after="416" w:line="360" w:lineRule="auto"/>
        <w:jc w:val="both"/>
        <w:rPr>
          <w:sz w:val="23"/>
          <w:szCs w:val="23"/>
        </w:rPr>
      </w:pPr>
      <w:r>
        <w:rPr>
          <w:sz w:val="23"/>
          <w:szCs w:val="23"/>
        </w:rPr>
        <w:t xml:space="preserve">2.7.1. </w:t>
      </w:r>
      <w:r>
        <w:rPr>
          <w:b/>
          <w:bCs/>
          <w:i/>
          <w:iCs/>
          <w:sz w:val="23"/>
          <w:szCs w:val="23"/>
        </w:rPr>
        <w:t xml:space="preserve">Clause 7(1) </w:t>
      </w:r>
      <w:r>
        <w:rPr>
          <w:sz w:val="23"/>
          <w:szCs w:val="23"/>
        </w:rPr>
        <w:t xml:space="preserve">– this clause provides which time periods prescribed under the tax Acts are affected by the COVID-19 national lockdown period. In respect of the listed periods the </w:t>
      </w:r>
      <w:proofErr w:type="gramStart"/>
      <w:r>
        <w:rPr>
          <w:sz w:val="23"/>
          <w:szCs w:val="23"/>
        </w:rPr>
        <w:t>21 day</w:t>
      </w:r>
      <w:proofErr w:type="gramEnd"/>
      <w:r>
        <w:rPr>
          <w:sz w:val="23"/>
          <w:szCs w:val="23"/>
        </w:rPr>
        <w:t xml:space="preserve"> lockdown period will be regarded as </w:t>
      </w:r>
      <w:r>
        <w:rPr>
          <w:i/>
          <w:iCs/>
          <w:sz w:val="23"/>
          <w:szCs w:val="23"/>
        </w:rPr>
        <w:t>dies non</w:t>
      </w:r>
      <w:r>
        <w:rPr>
          <w:sz w:val="23"/>
          <w:szCs w:val="23"/>
        </w:rPr>
        <w:t xml:space="preserve">, i.e. a day that has no legal effect and which will not be counted for purposes of the calculation of the listed time periods. This is intended to provide individuals and businesses impacted by COVID-19 with additional time to comply with selected tax obligations or due dates that are affected by or fall within the lockdown period but does not extend to return filing or payments. The processes made available by SARS must be followed for requests for instalment payment agreements in terms of section 167 of the Tax Administration Act, 2011. </w:t>
      </w:r>
    </w:p>
    <w:p w14:paraId="3E6F3D27" w14:textId="002ECB0C" w:rsidR="00621D10" w:rsidRDefault="00621D10" w:rsidP="0075426D">
      <w:pPr>
        <w:pStyle w:val="Default"/>
        <w:spacing w:line="360" w:lineRule="auto"/>
        <w:jc w:val="both"/>
        <w:rPr>
          <w:sz w:val="23"/>
          <w:szCs w:val="23"/>
        </w:rPr>
      </w:pPr>
      <w:r>
        <w:rPr>
          <w:sz w:val="23"/>
          <w:szCs w:val="23"/>
        </w:rPr>
        <w:t xml:space="preserve">2.7.2. </w:t>
      </w:r>
      <w:r>
        <w:rPr>
          <w:b/>
          <w:bCs/>
          <w:i/>
          <w:iCs/>
          <w:sz w:val="23"/>
          <w:szCs w:val="23"/>
        </w:rPr>
        <w:t xml:space="preserve">Clause 7(2) </w:t>
      </w:r>
      <w:r>
        <w:rPr>
          <w:sz w:val="23"/>
          <w:szCs w:val="23"/>
        </w:rPr>
        <w:t xml:space="preserve">– This clause deals with time periods prescribed under the Customs and Excise Act. 2.7.2.1. Paragraph </w:t>
      </w:r>
      <w:r>
        <w:rPr>
          <w:i/>
          <w:iCs/>
          <w:sz w:val="23"/>
          <w:szCs w:val="23"/>
        </w:rPr>
        <w:t>(a)</w:t>
      </w:r>
      <w:r>
        <w:rPr>
          <w:sz w:val="23"/>
          <w:szCs w:val="23"/>
        </w:rPr>
        <w:t>(</w:t>
      </w:r>
      <w:proofErr w:type="spellStart"/>
      <w:r>
        <w:rPr>
          <w:sz w:val="23"/>
          <w:szCs w:val="23"/>
        </w:rPr>
        <w:t>i</w:t>
      </w:r>
      <w:proofErr w:type="spellEnd"/>
      <w:r>
        <w:rPr>
          <w:sz w:val="23"/>
          <w:szCs w:val="23"/>
        </w:rPr>
        <w:t xml:space="preserve">) provides for the time periods in respect of which the period of national lockdown will be regarded as </w:t>
      </w:r>
      <w:r>
        <w:rPr>
          <w:i/>
          <w:iCs/>
          <w:sz w:val="23"/>
          <w:szCs w:val="23"/>
        </w:rPr>
        <w:t>dies non</w:t>
      </w:r>
      <w:r>
        <w:rPr>
          <w:sz w:val="23"/>
          <w:szCs w:val="23"/>
        </w:rPr>
        <w:t xml:space="preserve">, i.e. a day that has no legal effect and which will not be counted for purposes of the calculation of the relevant time period. This is intended </w:t>
      </w:r>
      <w:r w:rsidRPr="00621D10">
        <w:rPr>
          <w:sz w:val="23"/>
          <w:szCs w:val="23"/>
        </w:rPr>
        <w:t>to afford individuals and businesses impacted by the national lockdown additional time to comply with time periods prescribed in relation to certain activities or requirements in terms of the Act. Paragraph (a)(ii) sets out the time periods in respect of which the dies non provision does not apply.</w:t>
      </w:r>
    </w:p>
    <w:p w14:paraId="4C89E2CD" w14:textId="77777777" w:rsidR="00621D10" w:rsidRDefault="00621D10" w:rsidP="0075426D">
      <w:pPr>
        <w:pStyle w:val="Default"/>
        <w:spacing w:line="360" w:lineRule="auto"/>
        <w:jc w:val="both"/>
        <w:rPr>
          <w:sz w:val="23"/>
          <w:szCs w:val="23"/>
        </w:rPr>
      </w:pPr>
    </w:p>
    <w:p w14:paraId="5CD24CDC" w14:textId="77777777" w:rsidR="0075426D" w:rsidRDefault="0075426D" w:rsidP="0075426D">
      <w:pPr>
        <w:pStyle w:val="Default"/>
        <w:spacing w:line="360" w:lineRule="auto"/>
        <w:jc w:val="both"/>
      </w:pPr>
    </w:p>
    <w:p w14:paraId="0ADB7662" w14:textId="77777777" w:rsidR="0075426D" w:rsidRDefault="0075426D" w:rsidP="0075426D">
      <w:pPr>
        <w:pStyle w:val="Default"/>
        <w:spacing w:line="360" w:lineRule="auto"/>
        <w:jc w:val="both"/>
        <w:rPr>
          <w:sz w:val="23"/>
          <w:szCs w:val="23"/>
        </w:rPr>
      </w:pPr>
      <w:r>
        <w:rPr>
          <w:sz w:val="23"/>
          <w:szCs w:val="23"/>
        </w:rPr>
        <w:t xml:space="preserve">2.7.2.2. Paragraph </w:t>
      </w:r>
      <w:r>
        <w:rPr>
          <w:i/>
          <w:iCs/>
          <w:sz w:val="23"/>
          <w:szCs w:val="23"/>
        </w:rPr>
        <w:t xml:space="preserve">(b) </w:t>
      </w:r>
      <w:r>
        <w:rPr>
          <w:sz w:val="23"/>
          <w:szCs w:val="23"/>
        </w:rPr>
        <w:t xml:space="preserve">read with </w:t>
      </w:r>
      <w:r>
        <w:rPr>
          <w:i/>
          <w:iCs/>
          <w:sz w:val="23"/>
          <w:szCs w:val="23"/>
        </w:rPr>
        <w:t xml:space="preserve">(c) </w:t>
      </w:r>
      <w:r>
        <w:rPr>
          <w:sz w:val="23"/>
          <w:szCs w:val="23"/>
        </w:rPr>
        <w:t xml:space="preserve">makes provision for time periods not mentioned in paragraph </w:t>
      </w:r>
      <w:r>
        <w:rPr>
          <w:i/>
          <w:iCs/>
          <w:sz w:val="23"/>
          <w:szCs w:val="23"/>
        </w:rPr>
        <w:t>(a)</w:t>
      </w:r>
      <w:r>
        <w:rPr>
          <w:sz w:val="23"/>
          <w:szCs w:val="23"/>
        </w:rPr>
        <w:t>(</w:t>
      </w:r>
      <w:proofErr w:type="spellStart"/>
      <w:r>
        <w:rPr>
          <w:sz w:val="23"/>
          <w:szCs w:val="23"/>
        </w:rPr>
        <w:t>i</w:t>
      </w:r>
      <w:proofErr w:type="spellEnd"/>
      <w:r>
        <w:rPr>
          <w:sz w:val="23"/>
          <w:szCs w:val="23"/>
        </w:rPr>
        <w:t xml:space="preserve">), and that are not specifically excluded in subparagraph </w:t>
      </w:r>
      <w:r>
        <w:rPr>
          <w:i/>
          <w:iCs/>
          <w:sz w:val="23"/>
          <w:szCs w:val="23"/>
        </w:rPr>
        <w:t>(a)</w:t>
      </w:r>
      <w:r>
        <w:rPr>
          <w:sz w:val="23"/>
          <w:szCs w:val="23"/>
        </w:rPr>
        <w:t xml:space="preserve">(ii). A person who did not comply with such a time period may apply for condonation if it can be shown that the national lockdown or any circumstance arising from the lockdown was the fundamental reason for the person’s inability to comply with the relevant time period. A person can however not rely on the condonation provision if the Commissioner may in terms of the provision prescribing the time period extend that period. In such a case the person must obtain an extension from the Commissioner </w:t>
      </w:r>
      <w:r>
        <w:rPr>
          <w:i/>
          <w:iCs/>
          <w:sz w:val="23"/>
          <w:szCs w:val="23"/>
        </w:rPr>
        <w:t xml:space="preserve">before </w:t>
      </w:r>
      <w:r>
        <w:rPr>
          <w:sz w:val="23"/>
          <w:szCs w:val="23"/>
        </w:rPr>
        <w:t xml:space="preserve">expiry </w:t>
      </w:r>
      <w:r>
        <w:rPr>
          <w:sz w:val="23"/>
          <w:szCs w:val="23"/>
        </w:rPr>
        <w:lastRenderedPageBreak/>
        <w:t xml:space="preserve">of the period. The condonation provision applies to non-compliance with a time period occurring after the start of the national lockdown. </w:t>
      </w:r>
    </w:p>
    <w:p w14:paraId="205934A4" w14:textId="77777777" w:rsidR="0075426D" w:rsidRDefault="0075426D" w:rsidP="0075426D">
      <w:pPr>
        <w:pStyle w:val="Default"/>
        <w:spacing w:line="360" w:lineRule="auto"/>
        <w:jc w:val="both"/>
        <w:rPr>
          <w:sz w:val="23"/>
          <w:szCs w:val="23"/>
        </w:rPr>
      </w:pPr>
    </w:p>
    <w:p w14:paraId="19454369" w14:textId="1D4B45B9" w:rsidR="0075426D" w:rsidRDefault="0075426D" w:rsidP="0075426D">
      <w:pPr>
        <w:pStyle w:val="Default"/>
        <w:spacing w:line="360" w:lineRule="auto"/>
        <w:jc w:val="both"/>
        <w:rPr>
          <w:sz w:val="23"/>
          <w:szCs w:val="23"/>
        </w:rPr>
      </w:pPr>
      <w:r>
        <w:rPr>
          <w:sz w:val="23"/>
          <w:szCs w:val="23"/>
        </w:rPr>
        <w:t xml:space="preserve">2.7.3. </w:t>
      </w:r>
      <w:r>
        <w:rPr>
          <w:b/>
          <w:bCs/>
          <w:i/>
          <w:iCs/>
          <w:sz w:val="23"/>
          <w:szCs w:val="23"/>
        </w:rPr>
        <w:t xml:space="preserve">Clause 7(3) </w:t>
      </w:r>
      <w:r>
        <w:rPr>
          <w:sz w:val="23"/>
          <w:szCs w:val="23"/>
        </w:rPr>
        <w:t xml:space="preserve">– the Taxation Laws Administration Act, 2019, introduced the </w:t>
      </w:r>
      <w:proofErr w:type="gramStart"/>
      <w:r>
        <w:rPr>
          <w:sz w:val="23"/>
          <w:szCs w:val="23"/>
        </w:rPr>
        <w:t>5 year</w:t>
      </w:r>
      <w:proofErr w:type="gramEnd"/>
      <w:r>
        <w:rPr>
          <w:sz w:val="23"/>
          <w:szCs w:val="23"/>
        </w:rPr>
        <w:t xml:space="preserve"> validity period of beneficial owner declaration forms for SA withholding tax purposes. In terms of </w:t>
      </w:r>
      <w:r w:rsidRPr="0075426D">
        <w:rPr>
          <w:sz w:val="23"/>
          <w:szCs w:val="23"/>
        </w:rPr>
        <w:t xml:space="preserve">sections 3(2), 4(2), 6(2), 7(2) and 8(2) of the Act, it comes into effect on 1 July 2020. Given the effective deadline date of 1 July 2020 and the impact of COVID-19 measures internationally and locally, </w:t>
      </w:r>
      <w:proofErr w:type="gramStart"/>
      <w:r w:rsidRPr="0075426D">
        <w:rPr>
          <w:sz w:val="23"/>
          <w:szCs w:val="23"/>
        </w:rPr>
        <w:t>in particular the</w:t>
      </w:r>
      <w:proofErr w:type="gramEnd"/>
      <w:r w:rsidRPr="0075426D">
        <w:rPr>
          <w:sz w:val="23"/>
          <w:szCs w:val="23"/>
        </w:rPr>
        <w:t xml:space="preserve"> national lockdown, this date is extended for three months to 1 October 2020.</w:t>
      </w:r>
    </w:p>
    <w:p w14:paraId="1137BFBB" w14:textId="77777777" w:rsidR="0075426D" w:rsidRDefault="0075426D" w:rsidP="0075426D">
      <w:pPr>
        <w:pStyle w:val="Default"/>
        <w:spacing w:line="360" w:lineRule="auto"/>
        <w:jc w:val="both"/>
        <w:rPr>
          <w:sz w:val="23"/>
          <w:szCs w:val="23"/>
        </w:rPr>
      </w:pPr>
    </w:p>
    <w:p w14:paraId="22C31F55" w14:textId="77777777" w:rsidR="0075426D" w:rsidRDefault="0075426D" w:rsidP="0075426D">
      <w:pPr>
        <w:pStyle w:val="Default"/>
        <w:spacing w:line="360" w:lineRule="auto"/>
        <w:jc w:val="both"/>
        <w:rPr>
          <w:sz w:val="23"/>
          <w:szCs w:val="23"/>
        </w:rPr>
      </w:pPr>
    </w:p>
    <w:p w14:paraId="3D6D663A" w14:textId="77777777" w:rsidR="0075426D" w:rsidRDefault="0075426D" w:rsidP="0075426D">
      <w:pPr>
        <w:pStyle w:val="Default"/>
        <w:spacing w:line="360" w:lineRule="auto"/>
        <w:jc w:val="both"/>
      </w:pPr>
    </w:p>
    <w:p w14:paraId="28F79AC9" w14:textId="77777777" w:rsidR="0075426D" w:rsidRDefault="0075426D" w:rsidP="0075426D">
      <w:pPr>
        <w:pStyle w:val="Default"/>
        <w:spacing w:after="416" w:line="360" w:lineRule="auto"/>
        <w:jc w:val="both"/>
        <w:rPr>
          <w:sz w:val="23"/>
          <w:szCs w:val="23"/>
        </w:rPr>
      </w:pPr>
      <w:r>
        <w:rPr>
          <w:sz w:val="23"/>
          <w:szCs w:val="23"/>
        </w:rPr>
        <w:t xml:space="preserve">2.8. </w:t>
      </w:r>
      <w:r>
        <w:rPr>
          <w:b/>
          <w:bCs/>
          <w:sz w:val="23"/>
          <w:szCs w:val="23"/>
        </w:rPr>
        <w:t xml:space="preserve">SHORT TITLE AND COMMENCEMENT (CLAUSE 8) </w:t>
      </w:r>
      <w:r>
        <w:rPr>
          <w:sz w:val="23"/>
          <w:szCs w:val="23"/>
        </w:rPr>
        <w:t xml:space="preserve">2.8.1. Save in so far as is otherwise provided for in this Act, or the context otherwise indicates, the amendments effected by this Act come into operation on 1 April 2020. </w:t>
      </w:r>
    </w:p>
    <w:p w14:paraId="3DF9D115" w14:textId="77777777" w:rsidR="0075426D" w:rsidRDefault="0075426D" w:rsidP="0075426D">
      <w:pPr>
        <w:pStyle w:val="Default"/>
        <w:spacing w:after="417" w:line="360" w:lineRule="auto"/>
        <w:jc w:val="both"/>
        <w:rPr>
          <w:sz w:val="23"/>
          <w:szCs w:val="23"/>
        </w:rPr>
      </w:pPr>
      <w:r>
        <w:rPr>
          <w:sz w:val="23"/>
          <w:szCs w:val="23"/>
        </w:rPr>
        <w:t xml:space="preserve">2.8.2. This means: 2.8.2.1. Clause 2 comes into operation on 1 April 2020 and will cease to have effect on 5 February 2021 for compliant taxpayers. </w:t>
      </w:r>
    </w:p>
    <w:p w14:paraId="33D6F815" w14:textId="77777777" w:rsidR="0075426D" w:rsidRDefault="0075426D" w:rsidP="0075426D">
      <w:pPr>
        <w:pStyle w:val="Default"/>
        <w:spacing w:after="417" w:line="360" w:lineRule="auto"/>
        <w:jc w:val="both"/>
        <w:rPr>
          <w:sz w:val="23"/>
          <w:szCs w:val="23"/>
        </w:rPr>
      </w:pPr>
      <w:r>
        <w:rPr>
          <w:sz w:val="23"/>
          <w:szCs w:val="23"/>
        </w:rPr>
        <w:t xml:space="preserve">2.8.2.2. Clause 3 comes into operation on 1 April 2020 and will cease to have effect on the date the provisions of clause 3(2) have been complied with, in view of the different year ends and different time periods for the third top up payment. </w:t>
      </w:r>
    </w:p>
    <w:p w14:paraId="58F81538" w14:textId="77777777" w:rsidR="0075426D" w:rsidRDefault="0075426D" w:rsidP="0075426D">
      <w:pPr>
        <w:pStyle w:val="Default"/>
        <w:spacing w:after="417" w:line="360" w:lineRule="auto"/>
        <w:jc w:val="both"/>
        <w:rPr>
          <w:sz w:val="23"/>
          <w:szCs w:val="23"/>
        </w:rPr>
      </w:pPr>
      <w:r>
        <w:rPr>
          <w:sz w:val="23"/>
          <w:szCs w:val="23"/>
        </w:rPr>
        <w:t xml:space="preserve">2.8.2.3. Clause 4 comes into operation on 1 April 2020 and will cease to have effect when the assessed taxes are paid. </w:t>
      </w:r>
    </w:p>
    <w:p w14:paraId="4052EC25" w14:textId="77777777" w:rsidR="0075426D" w:rsidRDefault="0075426D" w:rsidP="0075426D">
      <w:pPr>
        <w:pStyle w:val="Default"/>
        <w:spacing w:line="360" w:lineRule="auto"/>
        <w:jc w:val="both"/>
        <w:rPr>
          <w:sz w:val="23"/>
          <w:szCs w:val="23"/>
        </w:rPr>
      </w:pPr>
      <w:r>
        <w:rPr>
          <w:sz w:val="23"/>
          <w:szCs w:val="23"/>
        </w:rPr>
        <w:t xml:space="preserve">2.8.2.4. Clause 5 comes into operation on 1 April 2020 and applies until 30 September 2020. </w:t>
      </w:r>
    </w:p>
    <w:p w14:paraId="3754720E" w14:textId="77777777" w:rsidR="0075426D" w:rsidRDefault="0075426D" w:rsidP="0075426D">
      <w:pPr>
        <w:pStyle w:val="Default"/>
        <w:spacing w:line="360" w:lineRule="auto"/>
        <w:jc w:val="both"/>
      </w:pPr>
    </w:p>
    <w:p w14:paraId="3DA84540" w14:textId="77777777" w:rsidR="0075426D" w:rsidRDefault="0075426D" w:rsidP="0075426D">
      <w:pPr>
        <w:pStyle w:val="Default"/>
        <w:spacing w:after="416" w:line="360" w:lineRule="auto"/>
        <w:jc w:val="both"/>
        <w:rPr>
          <w:sz w:val="23"/>
          <w:szCs w:val="23"/>
        </w:rPr>
      </w:pPr>
      <w:r>
        <w:rPr>
          <w:sz w:val="23"/>
          <w:szCs w:val="23"/>
        </w:rPr>
        <w:t xml:space="preserve">2.8.2.5. Clause 6 are deemed to have come into operation on 1 April 2020 and relate to the tax periods discussed in 2.6.6. and 2.6.7. </w:t>
      </w:r>
    </w:p>
    <w:p w14:paraId="38778299" w14:textId="2734B024" w:rsidR="0075426D" w:rsidRDefault="0075426D" w:rsidP="0079711A">
      <w:pPr>
        <w:pStyle w:val="Default"/>
        <w:spacing w:line="360" w:lineRule="auto"/>
        <w:jc w:val="both"/>
        <w:rPr>
          <w:sz w:val="23"/>
          <w:szCs w:val="23"/>
        </w:rPr>
      </w:pPr>
      <w:r>
        <w:rPr>
          <w:sz w:val="23"/>
          <w:szCs w:val="23"/>
        </w:rPr>
        <w:t>2.8.2.6. Clause 7 comes into operation on 1 April 2020 and will cease to have effect when the national lockdown ends, except for clauses 5(2)</w:t>
      </w:r>
      <w:r>
        <w:rPr>
          <w:i/>
          <w:iCs/>
          <w:sz w:val="23"/>
          <w:szCs w:val="23"/>
        </w:rPr>
        <w:t xml:space="preserve">(b) </w:t>
      </w:r>
      <w:r>
        <w:rPr>
          <w:sz w:val="23"/>
          <w:szCs w:val="23"/>
        </w:rPr>
        <w:t xml:space="preserve">and 5(3). </w:t>
      </w:r>
    </w:p>
    <w:p w14:paraId="60CE9FF2" w14:textId="77777777" w:rsidR="00621D10" w:rsidRDefault="00621D10" w:rsidP="00621D10">
      <w:pPr>
        <w:pStyle w:val="Default"/>
        <w:rPr>
          <w:sz w:val="23"/>
          <w:szCs w:val="23"/>
        </w:rPr>
      </w:pPr>
    </w:p>
    <w:p w14:paraId="71DB0012" w14:textId="77777777" w:rsidR="00621D10" w:rsidRDefault="00621D10" w:rsidP="00621D10">
      <w:pPr>
        <w:pStyle w:val="Default"/>
        <w:rPr>
          <w:sz w:val="23"/>
          <w:szCs w:val="23"/>
        </w:rPr>
      </w:pPr>
    </w:p>
    <w:p w14:paraId="3C147F6A" w14:textId="77777777" w:rsidR="00AC0638" w:rsidRDefault="00AC0638" w:rsidP="00AC0638">
      <w:pPr>
        <w:pStyle w:val="Default"/>
        <w:rPr>
          <w:sz w:val="23"/>
          <w:szCs w:val="23"/>
        </w:rPr>
      </w:pPr>
    </w:p>
    <w:p w14:paraId="46B7CDD1" w14:textId="77777777" w:rsidR="00590B08" w:rsidRDefault="00590B08" w:rsidP="00590B08">
      <w:pPr>
        <w:pStyle w:val="Default"/>
        <w:rPr>
          <w:sz w:val="23"/>
          <w:szCs w:val="23"/>
        </w:rPr>
      </w:pPr>
    </w:p>
    <w:p w14:paraId="7C46C668" w14:textId="3F21DB80" w:rsidR="00C25809" w:rsidRPr="00C25809" w:rsidRDefault="00C25809" w:rsidP="00D567FC">
      <w:pPr>
        <w:tabs>
          <w:tab w:val="left" w:pos="4580"/>
        </w:tabs>
        <w:jc w:val="both"/>
        <w:rPr>
          <w:rFonts w:cs="Arial"/>
          <w:szCs w:val="22"/>
        </w:rPr>
      </w:pPr>
    </w:p>
    <w:sectPr w:rsidR="00C25809" w:rsidRPr="00C25809" w:rsidSect="00D22BE5">
      <w:pgSz w:w="11904" w:h="17338"/>
      <w:pgMar w:top="1981" w:right="860" w:bottom="649" w:left="1195"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806F87" w14:textId="77777777" w:rsidR="00576A94" w:rsidRDefault="00576A94" w:rsidP="009D17E2">
      <w:r>
        <w:separator/>
      </w:r>
    </w:p>
    <w:p w14:paraId="0143718D" w14:textId="77777777" w:rsidR="00576A94" w:rsidRDefault="00576A94"/>
    <w:p w14:paraId="1367EA18" w14:textId="77777777" w:rsidR="00576A94" w:rsidRDefault="00576A94" w:rsidP="00B354A6"/>
  </w:endnote>
  <w:endnote w:type="continuationSeparator" w:id="0">
    <w:p w14:paraId="666148AC" w14:textId="77777777" w:rsidR="00576A94" w:rsidRDefault="00576A94" w:rsidP="009D17E2">
      <w:r>
        <w:continuationSeparator/>
      </w:r>
    </w:p>
    <w:p w14:paraId="3D2DCEF4" w14:textId="77777777" w:rsidR="00576A94" w:rsidRDefault="00576A94"/>
    <w:p w14:paraId="21694E58" w14:textId="77777777" w:rsidR="00576A94" w:rsidRDefault="00576A94" w:rsidP="00B354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B74211" w14:textId="77777777" w:rsidR="00B06C85" w:rsidRPr="00EE6D8D" w:rsidRDefault="00B06C85" w:rsidP="00886A5E">
    <w:pPr>
      <w:pStyle w:val="Header"/>
      <w:framePr w:w="357" w:h="361" w:hRule="exact" w:vSpace="709" w:wrap="notBeside" w:vAnchor="page" w:hAnchor="page" w:x="15112" w:y="11109"/>
      <w:jc w:val="right"/>
      <w:rPr>
        <w:rStyle w:val="PageNumber"/>
        <w:rFonts w:cs="Arial"/>
        <w:b/>
        <w:color w:val="5B6670"/>
        <w:szCs w:val="22"/>
      </w:rPr>
    </w:pPr>
    <w:r w:rsidRPr="00EE6D8D">
      <w:rPr>
        <w:rStyle w:val="PageNumber"/>
        <w:rFonts w:cs="Arial"/>
        <w:b/>
        <w:color w:val="5B6670"/>
        <w:szCs w:val="22"/>
      </w:rPr>
      <w:fldChar w:fldCharType="begin"/>
    </w:r>
    <w:r w:rsidRPr="00EE6D8D">
      <w:rPr>
        <w:rStyle w:val="PageNumber"/>
        <w:rFonts w:cs="Arial"/>
        <w:b/>
        <w:color w:val="5B6670"/>
        <w:szCs w:val="22"/>
      </w:rPr>
      <w:instrText xml:space="preserve">PAGE  </w:instrText>
    </w:r>
    <w:r w:rsidRPr="00EE6D8D">
      <w:rPr>
        <w:rStyle w:val="PageNumber"/>
        <w:rFonts w:cs="Arial"/>
        <w:b/>
        <w:color w:val="5B6670"/>
        <w:szCs w:val="22"/>
      </w:rPr>
      <w:fldChar w:fldCharType="separate"/>
    </w:r>
    <w:r>
      <w:rPr>
        <w:rStyle w:val="PageNumber"/>
        <w:rFonts w:cs="Arial"/>
        <w:b/>
        <w:noProof/>
        <w:color w:val="5B6670"/>
        <w:szCs w:val="22"/>
      </w:rPr>
      <w:t>4</w:t>
    </w:r>
    <w:r w:rsidRPr="00EE6D8D">
      <w:rPr>
        <w:rStyle w:val="PageNumber"/>
        <w:rFonts w:cs="Arial"/>
        <w:b/>
        <w:color w:val="5B6670"/>
        <w:szCs w:val="22"/>
      </w:rPr>
      <w:fldChar w:fldCharType="end"/>
    </w:r>
  </w:p>
  <w:p w14:paraId="10C08D37" w14:textId="77777777" w:rsidR="00B06C85" w:rsidRDefault="00B06C85">
    <w:pPr>
      <w:pStyle w:val="Footer"/>
    </w:pPr>
    <w:r w:rsidRPr="00007C92">
      <w:rPr>
        <w:noProof/>
        <w:lang w:val="en-ZA" w:eastAsia="en-ZA"/>
      </w:rPr>
      <mc:AlternateContent>
        <mc:Choice Requires="wps">
          <w:drawing>
            <wp:anchor distT="0" distB="0" distL="114300" distR="114300" simplePos="0" relativeHeight="251670528" behindDoc="0" locked="0" layoutInCell="1" allowOverlap="1" wp14:anchorId="003CF76C" wp14:editId="25158DD0">
              <wp:simplePos x="0" y="0"/>
              <wp:positionH relativeFrom="margin">
                <wp:posOffset>-83185</wp:posOffset>
              </wp:positionH>
              <wp:positionV relativeFrom="paragraph">
                <wp:posOffset>-138430</wp:posOffset>
              </wp:positionV>
              <wp:extent cx="7627620" cy="260350"/>
              <wp:effectExtent l="0" t="0" r="0" b="0"/>
              <wp:wrapNone/>
              <wp:docPr id="1" name="Text Box 1"/>
              <wp:cNvGraphicFramePr/>
              <a:graphic xmlns:a="http://schemas.openxmlformats.org/drawingml/2006/main">
                <a:graphicData uri="http://schemas.microsoft.com/office/word/2010/wordprocessingShape">
                  <wps:wsp>
                    <wps:cNvSpPr txBox="1"/>
                    <wps:spPr>
                      <a:xfrm>
                        <a:off x="0" y="0"/>
                        <a:ext cx="7627620" cy="2603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DEF5C38" w14:textId="7400792F" w:rsidR="00B06C85" w:rsidRPr="00E07FAD" w:rsidRDefault="00E26C5F" w:rsidP="00230658">
                          <w:pPr>
                            <w:rPr>
                              <w:rFonts w:cs="Arial"/>
                              <w:b/>
                              <w:color w:val="93A63A"/>
                              <w:sz w:val="20"/>
                              <w:szCs w:val="20"/>
                            </w:rPr>
                          </w:pPr>
                          <w:r w:rsidRPr="00E26C5F">
                            <w:rPr>
                              <w:rFonts w:cs="Arial"/>
                              <w:b/>
                              <w:szCs w:val="22"/>
                              <w:lang w:val="en-ZA"/>
                            </w:rPr>
                            <w:t>REVISED DRAFT DISASTER MANAGEMENT TAX RELIEF ADMINISTRATION BILL, MAY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3CF76C" id="_x0000_t202" coordsize="21600,21600" o:spt="202" path="m,l,21600r21600,l21600,xe">
              <v:stroke joinstyle="miter"/>
              <v:path gradientshapeok="t" o:connecttype="rect"/>
            </v:shapetype>
            <v:shape id="Text Box 1" o:spid="_x0000_s1028" type="#_x0000_t202" style="position:absolute;margin-left:-6.55pt;margin-top:-10.9pt;width:600.6pt;height:20.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" filled="f" stroked="f">
              <v:textbox>
                <w:txbxContent>
                  <w:p w14:paraId="2DEF5C38" w14:textId="7400792F" w:rsidR="00B06C85" w:rsidRPr="00E07FAD" w:rsidRDefault="00E26C5F" w:rsidP="00230658">
                    <w:pPr>
                      <w:rPr>
                        <w:rFonts w:cs="Arial"/>
                        <w:b/>
                        <w:color w:val="93A63A"/>
                        <w:sz w:val="20"/>
                        <w:szCs w:val="20"/>
                      </w:rPr>
                    </w:pPr>
                    <w:r w:rsidRPr="00E26C5F">
                      <w:rPr>
                        <w:rFonts w:cs="Arial"/>
                        <w:b/>
                        <w:szCs w:val="22"/>
                        <w:lang w:val="en-ZA"/>
                      </w:rPr>
                      <w:t>REVISED DRAFT DISASTER MANAGEMENT TAX RELIEF ADMINISTRATION BILL, MAY 2020</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847534" w14:textId="77777777" w:rsidR="00576A94" w:rsidRDefault="00576A94" w:rsidP="009D17E2">
      <w:r>
        <w:separator/>
      </w:r>
    </w:p>
    <w:p w14:paraId="0C91474D" w14:textId="77777777" w:rsidR="00576A94" w:rsidRDefault="00576A94"/>
    <w:p w14:paraId="3C690EBE" w14:textId="77777777" w:rsidR="00576A94" w:rsidRDefault="00576A94" w:rsidP="00B354A6"/>
  </w:footnote>
  <w:footnote w:type="continuationSeparator" w:id="0">
    <w:p w14:paraId="0B70D4FC" w14:textId="77777777" w:rsidR="00576A94" w:rsidRDefault="00576A94" w:rsidP="009D17E2">
      <w:r>
        <w:continuationSeparator/>
      </w:r>
    </w:p>
    <w:p w14:paraId="02A78EE2" w14:textId="77777777" w:rsidR="00576A94" w:rsidRDefault="00576A94"/>
    <w:p w14:paraId="71212494" w14:textId="77777777" w:rsidR="00576A94" w:rsidRDefault="00576A94" w:rsidP="00B354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FEE4A" w14:textId="4101543E" w:rsidR="00B06C85" w:rsidRDefault="00B06C85">
    <w:pPr>
      <w:pStyle w:val="Header"/>
    </w:pPr>
    <w:r>
      <w:rPr>
        <w:noProof/>
        <w:lang w:val="en-ZA" w:eastAsia="en-ZA"/>
      </w:rPr>
      <w:drawing>
        <wp:anchor distT="0" distB="0" distL="114300" distR="114300" simplePos="0" relativeHeight="251674624" behindDoc="1" locked="0" layoutInCell="0" allowOverlap="1" wp14:anchorId="5665BA91" wp14:editId="398867C2">
          <wp:simplePos x="0" y="0"/>
          <wp:positionH relativeFrom="margin">
            <wp:align>center</wp:align>
          </wp:positionH>
          <wp:positionV relativeFrom="margin">
            <wp:align>center</wp:align>
          </wp:positionV>
          <wp:extent cx="7773035" cy="5502275"/>
          <wp:effectExtent l="0" t="0" r="0" b="3175"/>
          <wp:wrapNone/>
          <wp:docPr id="2" name="Picture 2" descr="/Users/loocha/Documents/SGJD DESIGN/2018 WIP/BUSA BUSINESS UNITY SA/FA/BUSA FINAL LANDSCAPE DOCUMENTS/DOC PNG's/1x/BUSA_landscape_oliv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ers/loocha/Documents/SGJD DESIGN/2018 WIP/BUSA BUSINESS UNITY SA/FA/BUSA FINAL LANDSCAPE DOCUMENTS/DOC PNG's/1x/BUSA_landscape_oliv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035" cy="5502275"/>
                  </a:xfrm>
                  <a:prstGeom prst="rect">
                    <a:avLst/>
                  </a:prstGeom>
                  <a:noFill/>
                </pic:spPr>
              </pic:pic>
            </a:graphicData>
          </a:graphic>
          <wp14:sizeRelH relativeFrom="page">
            <wp14:pctWidth>0</wp14:pctWidth>
          </wp14:sizeRelH>
          <wp14:sizeRelV relativeFrom="page">
            <wp14:pctHeight>0</wp14:pctHeight>
          </wp14:sizeRelV>
        </wp:anchor>
      </w:drawing>
    </w:r>
    <w:r w:rsidR="0079711A">
      <w:rPr>
        <w:noProof/>
        <w:lang w:eastAsia="en-GB"/>
      </w:rPr>
      <w:pict w14:anchorId="273C2E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BUSA_gray_watermark" style="position:absolute;margin-left:0;margin-top:0;width:596.15pt;height:843.2pt;z-index:-251649024;mso-wrap-edited:f;mso-width-percent:0;mso-height-percent:0;mso-position-horizontal:center;mso-position-horizontal-relative:margin;mso-position-vertical:center;mso-position-vertical-relative:margin;mso-width-percent:0;mso-height-percent:0" o:allowincell="f">
          <v:imagedata r:id="rId2" o:title="BUSA_gray_watermark"/>
          <w10:wrap anchorx="margin" anchory="margin"/>
        </v:shape>
      </w:pict>
    </w:r>
  </w:p>
  <w:p w14:paraId="0118F2AC" w14:textId="77777777" w:rsidR="00B06C85" w:rsidRDefault="00B06C85"/>
  <w:p w14:paraId="7893F452" w14:textId="77777777" w:rsidR="00B06C85" w:rsidRDefault="00B06C85" w:rsidP="00B354A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BB4935" w14:textId="6704C057" w:rsidR="00B06C85" w:rsidRPr="00FF1545" w:rsidRDefault="0079711A" w:rsidP="009D17E2">
    <w:pPr>
      <w:pStyle w:val="Header"/>
      <w:jc w:val="right"/>
      <w:rPr>
        <w:rFonts w:cs="Arial"/>
        <w:b/>
        <w:color w:val="5B6670"/>
        <w:sz w:val="15"/>
        <w:szCs w:val="15"/>
      </w:rPr>
    </w:pPr>
    <w:r>
      <w:rPr>
        <w:noProof/>
        <w:lang w:eastAsia="en-GB"/>
      </w:rPr>
      <w:pict w14:anchorId="0F8BFC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Users/loocha/Documents/SGJD DESIGN/2018 WIP/BUSA BUSINESS UNITY SA/FA/BUSA FINAL LANDSCAPE DOCUMENTS/DOC PNG's/1x/BUSA_landscape_olive.png" style="position:absolute;left:0;text-align:left;margin-left:-71.5pt;margin-top:-99pt;width:847.7pt;height:600.05pt;z-index:-251642880;mso-wrap-edited:f;mso-width-percent:0;mso-height-percent:0;mso-position-horizontal-relative:margin;mso-position-vertical-relative:margin;mso-width-percent:0;mso-height-percent:0" o:allowincell="f">
          <v:imagedata r:id="rId1" o:title="BUSA_landscape_olive"/>
          <w10:wrap anchorx="margin" anchory="margin"/>
        </v:shape>
      </w:pict>
    </w:r>
    <w:r w:rsidR="00B06C85">
      <w:rPr>
        <w:noProof/>
        <w:lang w:val="en-ZA" w:eastAsia="en-ZA"/>
      </w:rPr>
      <mc:AlternateContent>
        <mc:Choice Requires="wps">
          <w:drawing>
            <wp:anchor distT="0" distB="0" distL="114300" distR="114300" simplePos="0" relativeHeight="251660288" behindDoc="0" locked="0" layoutInCell="1" allowOverlap="1" wp14:anchorId="3B4C0991" wp14:editId="6F17D46B">
              <wp:simplePos x="0" y="0"/>
              <wp:positionH relativeFrom="column">
                <wp:posOffset>-73025</wp:posOffset>
              </wp:positionH>
              <wp:positionV relativeFrom="paragraph">
                <wp:posOffset>125702</wp:posOffset>
              </wp:positionV>
              <wp:extent cx="5638800" cy="571500"/>
              <wp:effectExtent l="0" t="0" r="0" b="12700"/>
              <wp:wrapNone/>
              <wp:docPr id="8" name="Text Box 8"/>
              <wp:cNvGraphicFramePr/>
              <a:graphic xmlns:a="http://schemas.openxmlformats.org/drawingml/2006/main">
                <a:graphicData uri="http://schemas.microsoft.com/office/word/2010/wordprocessingShape">
                  <wps:wsp>
                    <wps:cNvSpPr txBox="1"/>
                    <wps:spPr>
                      <a:xfrm>
                        <a:off x="0" y="0"/>
                        <a:ext cx="5638800" cy="5715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D7A6428" w14:textId="77777777" w:rsidR="00B06C85" w:rsidRPr="00FF1545" w:rsidRDefault="00B06C85" w:rsidP="004A638E">
                          <w:pPr>
                            <w:rPr>
                              <w:rFonts w:cs="Arial"/>
                              <w:color w:val="5B6670"/>
                              <w:sz w:val="15"/>
                              <w:szCs w:val="15"/>
                            </w:rPr>
                          </w:pPr>
                          <w:r>
                            <w:rPr>
                              <w:rFonts w:cs="Arial"/>
                              <w:noProof/>
                              <w:color w:val="5B6670"/>
                              <w:sz w:val="15"/>
                              <w:szCs w:val="15"/>
                              <w:lang w:val="en-ZA" w:eastAsia="en-ZA"/>
                            </w:rPr>
                            <w:drawing>
                              <wp:inline distT="0" distB="0" distL="0" distR="0" wp14:anchorId="6D29AF41" wp14:editId="67A5E074">
                                <wp:extent cx="1161288" cy="429517"/>
                                <wp:effectExtent l="0" t="0" r="762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BUSA_logo_2.png"/>
                                        <pic:cNvPicPr/>
                                      </pic:nvPicPr>
                                      <pic:blipFill>
                                        <a:blip r:embed="rId2">
                                          <a:extLst>
                                            <a:ext uri="{28A0092B-C50C-407E-A947-70E740481C1C}">
                                              <a14:useLocalDpi xmlns:a14="http://schemas.microsoft.com/office/drawing/2010/main" val="0"/>
                                            </a:ext>
                                          </a:extLst>
                                        </a:blip>
                                        <a:stretch>
                                          <a:fillRect/>
                                        </a:stretch>
                                      </pic:blipFill>
                                      <pic:spPr>
                                        <a:xfrm>
                                          <a:off x="0" y="0"/>
                                          <a:ext cx="1161288" cy="42951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B4C0991" id="_x0000_t202" coordsize="21600,21600" o:spt="202" path="m,l,21600r21600,l21600,xe">
              <v:stroke joinstyle="miter"/>
              <v:path gradientshapeok="t" o:connecttype="rect"/>
            </v:shapetype>
            <v:shape id="Text Box 8" o:spid="_x0000_s1027" type="#_x0000_t202" style="position:absolute;left:0;text-align:left;margin-left:-5.75pt;margin-top:9.9pt;width:444pt;height: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" filled="f" stroked="f">
              <v:textbox>
                <w:txbxContent>
                  <w:p w14:paraId="6D7A6428" w14:textId="77777777" w:rsidR="00B06C85" w:rsidRPr="00FF1545" w:rsidRDefault="00B06C85" w:rsidP="004A638E">
                    <w:pPr>
                      <w:rPr>
                        <w:rFonts w:cs="Arial"/>
                        <w:color w:val="5B6670"/>
                        <w:sz w:val="15"/>
                        <w:szCs w:val="15"/>
                      </w:rPr>
                    </w:pPr>
                    <w:r>
                      <w:rPr>
                        <w:rFonts w:cs="Arial"/>
                        <w:noProof/>
                        <w:color w:val="5B6670"/>
                        <w:sz w:val="15"/>
                        <w:szCs w:val="15"/>
                        <w:lang w:val="en-ZA" w:eastAsia="en-ZA"/>
                      </w:rPr>
                      <w:drawing>
                        <wp:inline distT="0" distB="0" distL="0" distR="0" wp14:anchorId="6D29AF41" wp14:editId="67A5E074">
                          <wp:extent cx="1161288" cy="429517"/>
                          <wp:effectExtent l="0" t="0" r="762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BUSA_logo_2.png"/>
                                  <pic:cNvPicPr/>
                                </pic:nvPicPr>
                                <pic:blipFill>
                                  <a:blip r:embed="rId2">
                                    <a:extLst>
                                      <a:ext uri="{28A0092B-C50C-407E-A947-70E740481C1C}">
                                        <a14:useLocalDpi xmlns:a14="http://schemas.microsoft.com/office/drawing/2010/main" val="0"/>
                                      </a:ext>
                                    </a:extLst>
                                  </a:blip>
                                  <a:stretch>
                                    <a:fillRect/>
                                  </a:stretch>
                                </pic:blipFill>
                                <pic:spPr>
                                  <a:xfrm>
                                    <a:off x="0" y="0"/>
                                    <a:ext cx="1161288" cy="429517"/>
                                  </a:xfrm>
                                  <a:prstGeom prst="rect">
                                    <a:avLst/>
                                  </a:prstGeom>
                                </pic:spPr>
                              </pic:pic>
                            </a:graphicData>
                          </a:graphic>
                        </wp:inline>
                      </w:drawing>
                    </w:r>
                  </w:p>
                </w:txbxContent>
              </v:textbox>
            </v:shape>
          </w:pict>
        </mc:Fallback>
      </mc:AlternateContent>
    </w:r>
    <w:r w:rsidR="00B06C85">
      <w:rPr>
        <w:rFonts w:cs="Arial"/>
        <w:b/>
        <w:color w:val="5B6670"/>
        <w:sz w:val="15"/>
        <w:szCs w:val="15"/>
      </w:rPr>
      <w:t xml:space="preserve">  </w:t>
    </w:r>
  </w:p>
  <w:p w14:paraId="0F921554" w14:textId="77777777" w:rsidR="00B06C85" w:rsidRDefault="00B06C85"/>
  <w:p w14:paraId="13AC74A4" w14:textId="77777777" w:rsidR="00B06C85" w:rsidRDefault="00B06C85" w:rsidP="00B354A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98DB2" w14:textId="17B33700" w:rsidR="00B06C85" w:rsidRDefault="0079711A" w:rsidP="009D2113">
    <w:pPr>
      <w:pStyle w:val="Header"/>
      <w:ind w:right="360"/>
    </w:pPr>
    <w:r>
      <w:rPr>
        <w:noProof/>
        <w:lang w:eastAsia="en-GB"/>
      </w:rPr>
      <w:pict w14:anchorId="5151CB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Users/loocha/Documents/SGJD DESIGN/2018 WIP/BUSA BUSINESS UNITY SA/FA/BUSA FINAL LANDSCAPE DOCUMENTS/DOC PNG's/1x/BUSA_landscape_olive.png" style="position:absolute;margin-left:-66pt;margin-top:-99pt;width:842.2pt;height:596.15pt;z-index:-251640832;mso-wrap-edited:f;mso-width-percent:0;mso-height-percent:0;mso-position-horizontal-relative:margin;mso-position-vertical-relative:margin;mso-width-percent:0;mso-height-percent:0" o:allowincell="f">
          <v:imagedata r:id="rId1" o:title="BUSA_landscape_olive"/>
          <w10:wrap anchorx="margin" anchory="margin"/>
        </v:shape>
      </w:pict>
    </w:r>
    <w:r w:rsidR="00B06C85" w:rsidRPr="00007C92">
      <w:rPr>
        <w:noProof/>
        <w:lang w:val="en-ZA" w:eastAsia="en-ZA"/>
      </w:rPr>
      <mc:AlternateContent>
        <mc:Choice Requires="wps">
          <w:drawing>
            <wp:anchor distT="0" distB="0" distL="114300" distR="114300" simplePos="0" relativeHeight="251663360" behindDoc="0" locked="0" layoutInCell="1" allowOverlap="1" wp14:anchorId="57A4AC8A" wp14:editId="56CDBC65">
              <wp:simplePos x="0" y="0"/>
              <wp:positionH relativeFrom="column">
                <wp:posOffset>-69215</wp:posOffset>
              </wp:positionH>
              <wp:positionV relativeFrom="paragraph">
                <wp:posOffset>-252517</wp:posOffset>
              </wp:positionV>
              <wp:extent cx="2362200" cy="82327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2362200" cy="82327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4704389" w14:textId="77777777" w:rsidR="00B06C85" w:rsidRDefault="00B06C85" w:rsidP="00007C92">
                          <w:r>
                            <w:rPr>
                              <w:noProof/>
                              <w:lang w:val="en-ZA" w:eastAsia="en-ZA"/>
                            </w:rPr>
                            <w:drawing>
                              <wp:inline distT="0" distB="0" distL="0" distR="0" wp14:anchorId="5C3138B6" wp14:editId="6467880E">
                                <wp:extent cx="1565215" cy="699145"/>
                                <wp:effectExtent l="0" t="0" r="10160" b="1206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usa_logo_main.png"/>
                                        <pic:cNvPicPr/>
                                      </pic:nvPicPr>
                                      <pic:blipFill>
                                        <a:blip r:embed="rId2">
                                          <a:extLst>
                                            <a:ext uri="{28A0092B-C50C-407E-A947-70E740481C1C}">
                                              <a14:useLocalDpi xmlns:a14="http://schemas.microsoft.com/office/drawing/2010/main" val="0"/>
                                            </a:ext>
                                          </a:extLst>
                                        </a:blip>
                                        <a:stretch>
                                          <a:fillRect/>
                                        </a:stretch>
                                      </pic:blipFill>
                                      <pic:spPr>
                                        <a:xfrm>
                                          <a:off x="0" y="0"/>
                                          <a:ext cx="1565215" cy="69914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A4AC8A" id="_x0000_t202" coordsize="21600,21600" o:spt="202" path="m,l,21600r21600,l21600,xe">
              <v:stroke joinstyle="miter"/>
              <v:path gradientshapeok="t" o:connecttype="rect"/>
            </v:shapetype>
            <v:shape id="Text Box 14" o:spid="_x0000_s1029" type="#_x0000_t202" style="position:absolute;margin-left:-5.45pt;margin-top:-19.9pt;width:186pt;height:6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" filled="f" stroked="f">
              <v:textbox>
                <w:txbxContent>
                  <w:p w14:paraId="04704389" w14:textId="77777777" w:rsidR="00B06C85" w:rsidRDefault="00B06C85" w:rsidP="00007C92">
                    <w:r>
                      <w:rPr>
                        <w:noProof/>
                        <w:lang w:val="en-ZA" w:eastAsia="en-ZA"/>
                      </w:rPr>
                      <w:drawing>
                        <wp:inline distT="0" distB="0" distL="0" distR="0" wp14:anchorId="5C3138B6" wp14:editId="6467880E">
                          <wp:extent cx="1565215" cy="699145"/>
                          <wp:effectExtent l="0" t="0" r="10160" b="1206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usa_logo_main.png"/>
                                  <pic:cNvPicPr/>
                                </pic:nvPicPr>
                                <pic:blipFill>
                                  <a:blip r:embed="rId2">
                                    <a:extLst>
                                      <a:ext uri="{28A0092B-C50C-407E-A947-70E740481C1C}">
                                        <a14:useLocalDpi xmlns:a14="http://schemas.microsoft.com/office/drawing/2010/main" val="0"/>
                                      </a:ext>
                                    </a:extLst>
                                  </a:blip>
                                  <a:stretch>
                                    <a:fillRect/>
                                  </a:stretch>
                                </pic:blipFill>
                                <pic:spPr>
                                  <a:xfrm>
                                    <a:off x="0" y="0"/>
                                    <a:ext cx="1565215" cy="699145"/>
                                  </a:xfrm>
                                  <a:prstGeom prst="rect">
                                    <a:avLst/>
                                  </a:prstGeom>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EEB8D6F"/>
    <w:multiLevelType w:val="hybridMultilevel"/>
    <w:tmpl w:val="AD2C51F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92E901F"/>
    <w:multiLevelType w:val="hybridMultilevel"/>
    <w:tmpl w:val="32D08CC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7116EB1"/>
    <w:multiLevelType w:val="hybridMultilevel"/>
    <w:tmpl w:val="4FA63DE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94F0757"/>
    <w:multiLevelType w:val="hybridMultilevel"/>
    <w:tmpl w:val="995381C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E4294A4"/>
    <w:multiLevelType w:val="hybridMultilevel"/>
    <w:tmpl w:val="9733AA6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8E68C31"/>
    <w:multiLevelType w:val="hybridMultilevel"/>
    <w:tmpl w:val="135DD80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BDD984AB"/>
    <w:multiLevelType w:val="hybridMultilevel"/>
    <w:tmpl w:val="CF7633D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BEF718A0"/>
    <w:multiLevelType w:val="hybridMultilevel"/>
    <w:tmpl w:val="6A796E6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09DDD99"/>
    <w:multiLevelType w:val="hybridMultilevel"/>
    <w:tmpl w:val="1392519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62E597B"/>
    <w:multiLevelType w:val="hybridMultilevel"/>
    <w:tmpl w:val="4D3F942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2F20EF6"/>
    <w:multiLevelType w:val="hybridMultilevel"/>
    <w:tmpl w:val="6C27DE9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5780EBE"/>
    <w:multiLevelType w:val="hybridMultilevel"/>
    <w:tmpl w:val="B099231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FA39674A"/>
    <w:multiLevelType w:val="hybridMultilevel"/>
    <w:tmpl w:val="5F2CAA6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E56FE91"/>
    <w:multiLevelType w:val="hybridMultilevel"/>
    <w:tmpl w:val="E204D48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EF79C39"/>
    <w:multiLevelType w:val="hybridMultilevel"/>
    <w:tmpl w:val="B7BE77D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965A2CB"/>
    <w:multiLevelType w:val="hybridMultilevel"/>
    <w:tmpl w:val="38E2954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B9C65FF"/>
    <w:multiLevelType w:val="hybridMultilevel"/>
    <w:tmpl w:val="4E04785C"/>
    <w:lvl w:ilvl="0" w:tplc="1C090001">
      <w:start w:val="1"/>
      <w:numFmt w:val="bullet"/>
      <w:lvlText w:val=""/>
      <w:lvlJc w:val="left"/>
      <w:pPr>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cs="Wingdings" w:hint="default"/>
      </w:rPr>
    </w:lvl>
    <w:lvl w:ilvl="3" w:tplc="1C090001" w:tentative="1">
      <w:start w:val="1"/>
      <w:numFmt w:val="bullet"/>
      <w:lvlText w:val=""/>
      <w:lvlJc w:val="left"/>
      <w:pPr>
        <w:ind w:left="2880" w:hanging="360"/>
      </w:pPr>
      <w:rPr>
        <w:rFonts w:ascii="Symbol" w:hAnsi="Symbol" w:cs="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cs="Wingdings" w:hint="default"/>
      </w:rPr>
    </w:lvl>
    <w:lvl w:ilvl="6" w:tplc="1C090001" w:tentative="1">
      <w:start w:val="1"/>
      <w:numFmt w:val="bullet"/>
      <w:lvlText w:val=""/>
      <w:lvlJc w:val="left"/>
      <w:pPr>
        <w:ind w:left="5040" w:hanging="360"/>
      </w:pPr>
      <w:rPr>
        <w:rFonts w:ascii="Symbol" w:hAnsi="Symbol" w:cs="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1C033F09"/>
    <w:multiLevelType w:val="hybridMultilevel"/>
    <w:tmpl w:val="4A90F69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1A73933"/>
    <w:multiLevelType w:val="hybridMultilevel"/>
    <w:tmpl w:val="42BBA5C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1C8D52D"/>
    <w:multiLevelType w:val="hybridMultilevel"/>
    <w:tmpl w:val="513613D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2E8B6E61"/>
    <w:multiLevelType w:val="hybridMultilevel"/>
    <w:tmpl w:val="29A57ED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46EAEDBE"/>
    <w:multiLevelType w:val="hybridMultilevel"/>
    <w:tmpl w:val="2729423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4A413DB1"/>
    <w:multiLevelType w:val="hybridMultilevel"/>
    <w:tmpl w:val="025023E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4E5C00DD"/>
    <w:multiLevelType w:val="hybridMultilevel"/>
    <w:tmpl w:val="6C9015F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58B7CAA3"/>
    <w:multiLevelType w:val="hybridMultilevel"/>
    <w:tmpl w:val="6E6DF19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5B615DD9"/>
    <w:multiLevelType w:val="hybridMultilevel"/>
    <w:tmpl w:val="3D20590A"/>
    <w:lvl w:ilvl="0" w:tplc="1C090001">
      <w:start w:val="1"/>
      <w:numFmt w:val="bullet"/>
      <w:lvlText w:val=""/>
      <w:lvlJc w:val="left"/>
      <w:pPr>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cs="Wingdings" w:hint="default"/>
      </w:rPr>
    </w:lvl>
    <w:lvl w:ilvl="3" w:tplc="1C090001" w:tentative="1">
      <w:start w:val="1"/>
      <w:numFmt w:val="bullet"/>
      <w:lvlText w:val=""/>
      <w:lvlJc w:val="left"/>
      <w:pPr>
        <w:ind w:left="2880" w:hanging="360"/>
      </w:pPr>
      <w:rPr>
        <w:rFonts w:ascii="Symbol" w:hAnsi="Symbol" w:cs="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cs="Wingdings" w:hint="default"/>
      </w:rPr>
    </w:lvl>
    <w:lvl w:ilvl="6" w:tplc="1C090001" w:tentative="1">
      <w:start w:val="1"/>
      <w:numFmt w:val="bullet"/>
      <w:lvlText w:val=""/>
      <w:lvlJc w:val="left"/>
      <w:pPr>
        <w:ind w:left="5040" w:hanging="360"/>
      </w:pPr>
      <w:rPr>
        <w:rFonts w:ascii="Symbol" w:hAnsi="Symbol" w:cs="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5C53DA5"/>
    <w:multiLevelType w:val="hybridMultilevel"/>
    <w:tmpl w:val="7C8576D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6A450C3D"/>
    <w:multiLevelType w:val="hybridMultilevel"/>
    <w:tmpl w:val="7A06E30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0"/>
  </w:num>
  <w:num w:numId="2">
    <w:abstractNumId w:val="23"/>
  </w:num>
  <w:num w:numId="3">
    <w:abstractNumId w:val="27"/>
  </w:num>
  <w:num w:numId="4">
    <w:abstractNumId w:val="12"/>
  </w:num>
  <w:num w:numId="5">
    <w:abstractNumId w:val="22"/>
  </w:num>
  <w:num w:numId="6">
    <w:abstractNumId w:val="14"/>
  </w:num>
  <w:num w:numId="7">
    <w:abstractNumId w:val="20"/>
  </w:num>
  <w:num w:numId="8">
    <w:abstractNumId w:val="26"/>
  </w:num>
  <w:num w:numId="9">
    <w:abstractNumId w:val="24"/>
  </w:num>
  <w:num w:numId="10">
    <w:abstractNumId w:val="13"/>
  </w:num>
  <w:num w:numId="11">
    <w:abstractNumId w:val="8"/>
  </w:num>
  <w:num w:numId="12">
    <w:abstractNumId w:val="0"/>
  </w:num>
  <w:num w:numId="13">
    <w:abstractNumId w:val="5"/>
  </w:num>
  <w:num w:numId="14">
    <w:abstractNumId w:val="15"/>
  </w:num>
  <w:num w:numId="15">
    <w:abstractNumId w:val="21"/>
  </w:num>
  <w:num w:numId="16">
    <w:abstractNumId w:val="7"/>
  </w:num>
  <w:num w:numId="17">
    <w:abstractNumId w:val="6"/>
  </w:num>
  <w:num w:numId="18">
    <w:abstractNumId w:val="17"/>
  </w:num>
  <w:num w:numId="19">
    <w:abstractNumId w:val="9"/>
  </w:num>
  <w:num w:numId="20">
    <w:abstractNumId w:val="2"/>
  </w:num>
  <w:num w:numId="21">
    <w:abstractNumId w:val="1"/>
  </w:num>
  <w:num w:numId="22">
    <w:abstractNumId w:val="3"/>
  </w:num>
  <w:num w:numId="23">
    <w:abstractNumId w:val="18"/>
  </w:num>
  <w:num w:numId="24">
    <w:abstractNumId w:val="11"/>
  </w:num>
  <w:num w:numId="25">
    <w:abstractNumId w:val="19"/>
  </w:num>
  <w:num w:numId="26">
    <w:abstractNumId w:val="4"/>
  </w:num>
  <w:num w:numId="27">
    <w:abstractNumId w:val="25"/>
  </w:num>
  <w:num w:numId="28">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7E2"/>
    <w:rsid w:val="00000B52"/>
    <w:rsid w:val="0000162F"/>
    <w:rsid w:val="00001811"/>
    <w:rsid w:val="00001AD5"/>
    <w:rsid w:val="0000275E"/>
    <w:rsid w:val="00003AC4"/>
    <w:rsid w:val="00004E02"/>
    <w:rsid w:val="0000694F"/>
    <w:rsid w:val="00007484"/>
    <w:rsid w:val="00007503"/>
    <w:rsid w:val="00007965"/>
    <w:rsid w:val="00007C92"/>
    <w:rsid w:val="00011197"/>
    <w:rsid w:val="000124D1"/>
    <w:rsid w:val="000125B6"/>
    <w:rsid w:val="000136F0"/>
    <w:rsid w:val="000142BD"/>
    <w:rsid w:val="00014477"/>
    <w:rsid w:val="00014742"/>
    <w:rsid w:val="00014768"/>
    <w:rsid w:val="00014BBC"/>
    <w:rsid w:val="000155D9"/>
    <w:rsid w:val="000176D3"/>
    <w:rsid w:val="00020728"/>
    <w:rsid w:val="00021F52"/>
    <w:rsid w:val="00021FEA"/>
    <w:rsid w:val="000227A5"/>
    <w:rsid w:val="00024180"/>
    <w:rsid w:val="00024957"/>
    <w:rsid w:val="00026C30"/>
    <w:rsid w:val="000312E9"/>
    <w:rsid w:val="00032425"/>
    <w:rsid w:val="000328AD"/>
    <w:rsid w:val="000329B2"/>
    <w:rsid w:val="000329BA"/>
    <w:rsid w:val="00032CE1"/>
    <w:rsid w:val="00033B0E"/>
    <w:rsid w:val="00035941"/>
    <w:rsid w:val="00035E64"/>
    <w:rsid w:val="00036575"/>
    <w:rsid w:val="00036C07"/>
    <w:rsid w:val="000375B3"/>
    <w:rsid w:val="000376F6"/>
    <w:rsid w:val="00037EB9"/>
    <w:rsid w:val="00041FBC"/>
    <w:rsid w:val="0004235E"/>
    <w:rsid w:val="00042DC7"/>
    <w:rsid w:val="0004324B"/>
    <w:rsid w:val="000432C5"/>
    <w:rsid w:val="000435C9"/>
    <w:rsid w:val="00044309"/>
    <w:rsid w:val="00044BC0"/>
    <w:rsid w:val="000476E9"/>
    <w:rsid w:val="00047A8A"/>
    <w:rsid w:val="00051D52"/>
    <w:rsid w:val="000528FB"/>
    <w:rsid w:val="0005292B"/>
    <w:rsid w:val="000532F9"/>
    <w:rsid w:val="000543A1"/>
    <w:rsid w:val="00054FEC"/>
    <w:rsid w:val="00056191"/>
    <w:rsid w:val="00057616"/>
    <w:rsid w:val="00057906"/>
    <w:rsid w:val="00057BA3"/>
    <w:rsid w:val="0006033A"/>
    <w:rsid w:val="000605A1"/>
    <w:rsid w:val="0006063E"/>
    <w:rsid w:val="00060ABD"/>
    <w:rsid w:val="000616C1"/>
    <w:rsid w:val="00062CE9"/>
    <w:rsid w:val="00062EC0"/>
    <w:rsid w:val="00063065"/>
    <w:rsid w:val="00063532"/>
    <w:rsid w:val="000642BD"/>
    <w:rsid w:val="00064ED9"/>
    <w:rsid w:val="00065947"/>
    <w:rsid w:val="00065973"/>
    <w:rsid w:val="00065CC1"/>
    <w:rsid w:val="000669AE"/>
    <w:rsid w:val="00066B90"/>
    <w:rsid w:val="00067678"/>
    <w:rsid w:val="000704CF"/>
    <w:rsid w:val="00071439"/>
    <w:rsid w:val="00071C56"/>
    <w:rsid w:val="0007388F"/>
    <w:rsid w:val="00074040"/>
    <w:rsid w:val="0007544E"/>
    <w:rsid w:val="00075BD2"/>
    <w:rsid w:val="00076BE1"/>
    <w:rsid w:val="00076C39"/>
    <w:rsid w:val="00080447"/>
    <w:rsid w:val="00080502"/>
    <w:rsid w:val="00080A01"/>
    <w:rsid w:val="00081276"/>
    <w:rsid w:val="000814E6"/>
    <w:rsid w:val="00081D90"/>
    <w:rsid w:val="000826B8"/>
    <w:rsid w:val="00082874"/>
    <w:rsid w:val="000840D0"/>
    <w:rsid w:val="00085334"/>
    <w:rsid w:val="000862BF"/>
    <w:rsid w:val="00086A28"/>
    <w:rsid w:val="000875DD"/>
    <w:rsid w:val="00091A79"/>
    <w:rsid w:val="000925C0"/>
    <w:rsid w:val="00093C53"/>
    <w:rsid w:val="0009472E"/>
    <w:rsid w:val="00094C33"/>
    <w:rsid w:val="00095318"/>
    <w:rsid w:val="0009589A"/>
    <w:rsid w:val="0009686A"/>
    <w:rsid w:val="000977DD"/>
    <w:rsid w:val="00097B60"/>
    <w:rsid w:val="000A009D"/>
    <w:rsid w:val="000A15E7"/>
    <w:rsid w:val="000A17E3"/>
    <w:rsid w:val="000A2298"/>
    <w:rsid w:val="000A386D"/>
    <w:rsid w:val="000A4DCF"/>
    <w:rsid w:val="000A6086"/>
    <w:rsid w:val="000A6835"/>
    <w:rsid w:val="000A6FB7"/>
    <w:rsid w:val="000A7435"/>
    <w:rsid w:val="000A77BE"/>
    <w:rsid w:val="000A79C9"/>
    <w:rsid w:val="000A7FB5"/>
    <w:rsid w:val="000B03DD"/>
    <w:rsid w:val="000B0ABB"/>
    <w:rsid w:val="000B170A"/>
    <w:rsid w:val="000B1F73"/>
    <w:rsid w:val="000B2CD5"/>
    <w:rsid w:val="000B3232"/>
    <w:rsid w:val="000B477B"/>
    <w:rsid w:val="000B4945"/>
    <w:rsid w:val="000B6285"/>
    <w:rsid w:val="000B6B84"/>
    <w:rsid w:val="000B6F12"/>
    <w:rsid w:val="000B6F8B"/>
    <w:rsid w:val="000B7877"/>
    <w:rsid w:val="000B7E0B"/>
    <w:rsid w:val="000B7F5B"/>
    <w:rsid w:val="000C05B3"/>
    <w:rsid w:val="000C0D4E"/>
    <w:rsid w:val="000C0F64"/>
    <w:rsid w:val="000C11FE"/>
    <w:rsid w:val="000C2387"/>
    <w:rsid w:val="000C2F8B"/>
    <w:rsid w:val="000C34A7"/>
    <w:rsid w:val="000C3A5C"/>
    <w:rsid w:val="000C4032"/>
    <w:rsid w:val="000C53AB"/>
    <w:rsid w:val="000C5440"/>
    <w:rsid w:val="000C5A8B"/>
    <w:rsid w:val="000C60D8"/>
    <w:rsid w:val="000C6B1B"/>
    <w:rsid w:val="000C6EAD"/>
    <w:rsid w:val="000C7981"/>
    <w:rsid w:val="000D155C"/>
    <w:rsid w:val="000D1AF2"/>
    <w:rsid w:val="000D1E83"/>
    <w:rsid w:val="000D26FB"/>
    <w:rsid w:val="000D276B"/>
    <w:rsid w:val="000D27A8"/>
    <w:rsid w:val="000D412C"/>
    <w:rsid w:val="000D421D"/>
    <w:rsid w:val="000D4445"/>
    <w:rsid w:val="000D5129"/>
    <w:rsid w:val="000D6F32"/>
    <w:rsid w:val="000D70A2"/>
    <w:rsid w:val="000D75EC"/>
    <w:rsid w:val="000D763F"/>
    <w:rsid w:val="000E02F2"/>
    <w:rsid w:val="000E0753"/>
    <w:rsid w:val="000E0B04"/>
    <w:rsid w:val="000E0BD7"/>
    <w:rsid w:val="000E0C2A"/>
    <w:rsid w:val="000E1E36"/>
    <w:rsid w:val="000E382E"/>
    <w:rsid w:val="000E45AB"/>
    <w:rsid w:val="000E4630"/>
    <w:rsid w:val="000E4691"/>
    <w:rsid w:val="000E4A09"/>
    <w:rsid w:val="000E5A65"/>
    <w:rsid w:val="000E7277"/>
    <w:rsid w:val="000F028B"/>
    <w:rsid w:val="000F1053"/>
    <w:rsid w:val="000F112F"/>
    <w:rsid w:val="000F2CE2"/>
    <w:rsid w:val="000F2EF0"/>
    <w:rsid w:val="000F3EBC"/>
    <w:rsid w:val="000F4E8B"/>
    <w:rsid w:val="000F55A9"/>
    <w:rsid w:val="000F656C"/>
    <w:rsid w:val="000F67D7"/>
    <w:rsid w:val="0010075E"/>
    <w:rsid w:val="001017DA"/>
    <w:rsid w:val="001019CB"/>
    <w:rsid w:val="0010285F"/>
    <w:rsid w:val="00103730"/>
    <w:rsid w:val="001039CE"/>
    <w:rsid w:val="00103BA1"/>
    <w:rsid w:val="0010420E"/>
    <w:rsid w:val="001049E6"/>
    <w:rsid w:val="001062CC"/>
    <w:rsid w:val="00106637"/>
    <w:rsid w:val="001068B6"/>
    <w:rsid w:val="00107B5E"/>
    <w:rsid w:val="0011120C"/>
    <w:rsid w:val="00111605"/>
    <w:rsid w:val="00113F8A"/>
    <w:rsid w:val="0011491C"/>
    <w:rsid w:val="00114B28"/>
    <w:rsid w:val="00116715"/>
    <w:rsid w:val="0011698D"/>
    <w:rsid w:val="00117F46"/>
    <w:rsid w:val="00121366"/>
    <w:rsid w:val="00121578"/>
    <w:rsid w:val="00121C58"/>
    <w:rsid w:val="00121FCE"/>
    <w:rsid w:val="00122E7A"/>
    <w:rsid w:val="00122E81"/>
    <w:rsid w:val="0012305E"/>
    <w:rsid w:val="0012360F"/>
    <w:rsid w:val="0012383D"/>
    <w:rsid w:val="0012390D"/>
    <w:rsid w:val="00124505"/>
    <w:rsid w:val="00124A06"/>
    <w:rsid w:val="00124DA9"/>
    <w:rsid w:val="00125D18"/>
    <w:rsid w:val="00126CC0"/>
    <w:rsid w:val="00127267"/>
    <w:rsid w:val="001275F6"/>
    <w:rsid w:val="00127833"/>
    <w:rsid w:val="00127FA1"/>
    <w:rsid w:val="00130903"/>
    <w:rsid w:val="00130D40"/>
    <w:rsid w:val="0013156A"/>
    <w:rsid w:val="001323F8"/>
    <w:rsid w:val="00132DED"/>
    <w:rsid w:val="00133AEC"/>
    <w:rsid w:val="00133CD4"/>
    <w:rsid w:val="00134910"/>
    <w:rsid w:val="0013568C"/>
    <w:rsid w:val="00137ABB"/>
    <w:rsid w:val="00137AC4"/>
    <w:rsid w:val="00137DFC"/>
    <w:rsid w:val="001405C0"/>
    <w:rsid w:val="00141192"/>
    <w:rsid w:val="00141CF2"/>
    <w:rsid w:val="00141DA5"/>
    <w:rsid w:val="001422D3"/>
    <w:rsid w:val="001427DC"/>
    <w:rsid w:val="00142871"/>
    <w:rsid w:val="00142876"/>
    <w:rsid w:val="001435E9"/>
    <w:rsid w:val="00143792"/>
    <w:rsid w:val="00145652"/>
    <w:rsid w:val="00146E71"/>
    <w:rsid w:val="0014708A"/>
    <w:rsid w:val="001475F8"/>
    <w:rsid w:val="00147829"/>
    <w:rsid w:val="00150524"/>
    <w:rsid w:val="00151201"/>
    <w:rsid w:val="00151642"/>
    <w:rsid w:val="0015192E"/>
    <w:rsid w:val="00152776"/>
    <w:rsid w:val="001529B1"/>
    <w:rsid w:val="001552C3"/>
    <w:rsid w:val="001557DC"/>
    <w:rsid w:val="00156D3E"/>
    <w:rsid w:val="001577E7"/>
    <w:rsid w:val="00160078"/>
    <w:rsid w:val="0016034E"/>
    <w:rsid w:val="00160E33"/>
    <w:rsid w:val="00161783"/>
    <w:rsid w:val="00162A36"/>
    <w:rsid w:val="00162A88"/>
    <w:rsid w:val="001632B9"/>
    <w:rsid w:val="00164278"/>
    <w:rsid w:val="001644BD"/>
    <w:rsid w:val="00164675"/>
    <w:rsid w:val="00164937"/>
    <w:rsid w:val="00164CFE"/>
    <w:rsid w:val="00167163"/>
    <w:rsid w:val="00167D09"/>
    <w:rsid w:val="00170768"/>
    <w:rsid w:val="00170A55"/>
    <w:rsid w:val="001717AE"/>
    <w:rsid w:val="001748E5"/>
    <w:rsid w:val="00175A44"/>
    <w:rsid w:val="001762CD"/>
    <w:rsid w:val="00176876"/>
    <w:rsid w:val="0017722B"/>
    <w:rsid w:val="0018081F"/>
    <w:rsid w:val="00180C90"/>
    <w:rsid w:val="00182649"/>
    <w:rsid w:val="00183752"/>
    <w:rsid w:val="001844F4"/>
    <w:rsid w:val="0018460B"/>
    <w:rsid w:val="00184868"/>
    <w:rsid w:val="00184A08"/>
    <w:rsid w:val="00184CC0"/>
    <w:rsid w:val="0018555F"/>
    <w:rsid w:val="00185974"/>
    <w:rsid w:val="001874C6"/>
    <w:rsid w:val="001912B8"/>
    <w:rsid w:val="00191FD8"/>
    <w:rsid w:val="00192077"/>
    <w:rsid w:val="0019314F"/>
    <w:rsid w:val="001938E1"/>
    <w:rsid w:val="00194DA9"/>
    <w:rsid w:val="00195067"/>
    <w:rsid w:val="00195FEC"/>
    <w:rsid w:val="00196ADB"/>
    <w:rsid w:val="0019737C"/>
    <w:rsid w:val="001A07DE"/>
    <w:rsid w:val="001A187A"/>
    <w:rsid w:val="001A1E80"/>
    <w:rsid w:val="001A23F9"/>
    <w:rsid w:val="001A2486"/>
    <w:rsid w:val="001A34C8"/>
    <w:rsid w:val="001A3F83"/>
    <w:rsid w:val="001A42BB"/>
    <w:rsid w:val="001A42EF"/>
    <w:rsid w:val="001A465F"/>
    <w:rsid w:val="001A4A18"/>
    <w:rsid w:val="001A4AB7"/>
    <w:rsid w:val="001A69CA"/>
    <w:rsid w:val="001B048B"/>
    <w:rsid w:val="001B0EA6"/>
    <w:rsid w:val="001B1A77"/>
    <w:rsid w:val="001B337A"/>
    <w:rsid w:val="001B3FEA"/>
    <w:rsid w:val="001B4BAA"/>
    <w:rsid w:val="001B5B4A"/>
    <w:rsid w:val="001B6F7D"/>
    <w:rsid w:val="001B78D4"/>
    <w:rsid w:val="001B7B53"/>
    <w:rsid w:val="001C090B"/>
    <w:rsid w:val="001C2470"/>
    <w:rsid w:val="001C24A3"/>
    <w:rsid w:val="001C2AA8"/>
    <w:rsid w:val="001C2B06"/>
    <w:rsid w:val="001C2F8C"/>
    <w:rsid w:val="001C38E3"/>
    <w:rsid w:val="001C41EA"/>
    <w:rsid w:val="001C5BD0"/>
    <w:rsid w:val="001C6444"/>
    <w:rsid w:val="001C6FE8"/>
    <w:rsid w:val="001C7503"/>
    <w:rsid w:val="001D1916"/>
    <w:rsid w:val="001D1E60"/>
    <w:rsid w:val="001D1FFC"/>
    <w:rsid w:val="001D24F4"/>
    <w:rsid w:val="001D262E"/>
    <w:rsid w:val="001D2B50"/>
    <w:rsid w:val="001D2F6A"/>
    <w:rsid w:val="001D304E"/>
    <w:rsid w:val="001D468D"/>
    <w:rsid w:val="001D5E73"/>
    <w:rsid w:val="001D6645"/>
    <w:rsid w:val="001D751F"/>
    <w:rsid w:val="001E07F8"/>
    <w:rsid w:val="001E0C9B"/>
    <w:rsid w:val="001E1C80"/>
    <w:rsid w:val="001E2265"/>
    <w:rsid w:val="001E33CF"/>
    <w:rsid w:val="001E3C20"/>
    <w:rsid w:val="001E40E8"/>
    <w:rsid w:val="001E5120"/>
    <w:rsid w:val="001E57E4"/>
    <w:rsid w:val="001E60FE"/>
    <w:rsid w:val="001E693A"/>
    <w:rsid w:val="001F09EE"/>
    <w:rsid w:val="001F0C87"/>
    <w:rsid w:val="001F2006"/>
    <w:rsid w:val="001F297A"/>
    <w:rsid w:val="001F2E59"/>
    <w:rsid w:val="001F2E6F"/>
    <w:rsid w:val="001F389B"/>
    <w:rsid w:val="001F41AF"/>
    <w:rsid w:val="001F4613"/>
    <w:rsid w:val="001F54C3"/>
    <w:rsid w:val="001F55F4"/>
    <w:rsid w:val="001F7846"/>
    <w:rsid w:val="001F785F"/>
    <w:rsid w:val="001F7AED"/>
    <w:rsid w:val="0020026E"/>
    <w:rsid w:val="00200755"/>
    <w:rsid w:val="00200F38"/>
    <w:rsid w:val="0020104C"/>
    <w:rsid w:val="002026B9"/>
    <w:rsid w:val="00202A1C"/>
    <w:rsid w:val="00202FDB"/>
    <w:rsid w:val="00203D76"/>
    <w:rsid w:val="002055B7"/>
    <w:rsid w:val="00205FFD"/>
    <w:rsid w:val="002068D8"/>
    <w:rsid w:val="00206A2B"/>
    <w:rsid w:val="00207751"/>
    <w:rsid w:val="002100F6"/>
    <w:rsid w:val="00211CF7"/>
    <w:rsid w:val="002121BD"/>
    <w:rsid w:val="00213A61"/>
    <w:rsid w:val="00214606"/>
    <w:rsid w:val="00214608"/>
    <w:rsid w:val="00214C3B"/>
    <w:rsid w:val="00214EAD"/>
    <w:rsid w:val="0021566B"/>
    <w:rsid w:val="002165E7"/>
    <w:rsid w:val="0022048E"/>
    <w:rsid w:val="00221669"/>
    <w:rsid w:val="00222257"/>
    <w:rsid w:val="00222A40"/>
    <w:rsid w:val="002238AC"/>
    <w:rsid w:val="00224A98"/>
    <w:rsid w:val="002251E9"/>
    <w:rsid w:val="00226C36"/>
    <w:rsid w:val="00227605"/>
    <w:rsid w:val="00227A79"/>
    <w:rsid w:val="00227C6A"/>
    <w:rsid w:val="00227DA1"/>
    <w:rsid w:val="00230658"/>
    <w:rsid w:val="002310CA"/>
    <w:rsid w:val="00231AA5"/>
    <w:rsid w:val="00231B57"/>
    <w:rsid w:val="0023204C"/>
    <w:rsid w:val="002326FE"/>
    <w:rsid w:val="00234096"/>
    <w:rsid w:val="00235D98"/>
    <w:rsid w:val="00236506"/>
    <w:rsid w:val="0023651C"/>
    <w:rsid w:val="002373E9"/>
    <w:rsid w:val="002373F6"/>
    <w:rsid w:val="00237466"/>
    <w:rsid w:val="00237FCC"/>
    <w:rsid w:val="0024088F"/>
    <w:rsid w:val="00240A8B"/>
    <w:rsid w:val="00241655"/>
    <w:rsid w:val="0024181B"/>
    <w:rsid w:val="0024195A"/>
    <w:rsid w:val="002427A7"/>
    <w:rsid w:val="00243681"/>
    <w:rsid w:val="00243920"/>
    <w:rsid w:val="002443C8"/>
    <w:rsid w:val="002445B4"/>
    <w:rsid w:val="00244ABA"/>
    <w:rsid w:val="00246393"/>
    <w:rsid w:val="00246B1A"/>
    <w:rsid w:val="0025084F"/>
    <w:rsid w:val="00250F51"/>
    <w:rsid w:val="00251BCC"/>
    <w:rsid w:val="00252B7C"/>
    <w:rsid w:val="002564DC"/>
    <w:rsid w:val="00256FC5"/>
    <w:rsid w:val="00257AE9"/>
    <w:rsid w:val="00260072"/>
    <w:rsid w:val="002609A1"/>
    <w:rsid w:val="002617E2"/>
    <w:rsid w:val="00262240"/>
    <w:rsid w:val="002627B1"/>
    <w:rsid w:val="00262A4C"/>
    <w:rsid w:val="00263F9A"/>
    <w:rsid w:val="00264242"/>
    <w:rsid w:val="002658ED"/>
    <w:rsid w:val="00265CCA"/>
    <w:rsid w:val="00266B9C"/>
    <w:rsid w:val="002672A7"/>
    <w:rsid w:val="00267BB9"/>
    <w:rsid w:val="00267DED"/>
    <w:rsid w:val="002701B2"/>
    <w:rsid w:val="00271993"/>
    <w:rsid w:val="0027345F"/>
    <w:rsid w:val="00274548"/>
    <w:rsid w:val="00274BF0"/>
    <w:rsid w:val="0027555B"/>
    <w:rsid w:val="00275C6E"/>
    <w:rsid w:val="0027652E"/>
    <w:rsid w:val="00276C06"/>
    <w:rsid w:val="00277942"/>
    <w:rsid w:val="00277BDF"/>
    <w:rsid w:val="00281311"/>
    <w:rsid w:val="0028146E"/>
    <w:rsid w:val="002815BA"/>
    <w:rsid w:val="00281961"/>
    <w:rsid w:val="00282560"/>
    <w:rsid w:val="002844F3"/>
    <w:rsid w:val="00284A5E"/>
    <w:rsid w:val="00285943"/>
    <w:rsid w:val="00285BDC"/>
    <w:rsid w:val="00286030"/>
    <w:rsid w:val="002876F3"/>
    <w:rsid w:val="0029061E"/>
    <w:rsid w:val="002907AC"/>
    <w:rsid w:val="002910C5"/>
    <w:rsid w:val="0029148E"/>
    <w:rsid w:val="002914A8"/>
    <w:rsid w:val="00291B47"/>
    <w:rsid w:val="0029247B"/>
    <w:rsid w:val="00294C1D"/>
    <w:rsid w:val="00295C5D"/>
    <w:rsid w:val="0029746B"/>
    <w:rsid w:val="002A2AEF"/>
    <w:rsid w:val="002A3CE5"/>
    <w:rsid w:val="002A3FA6"/>
    <w:rsid w:val="002A4406"/>
    <w:rsid w:val="002A5D78"/>
    <w:rsid w:val="002A7B5F"/>
    <w:rsid w:val="002A7DDB"/>
    <w:rsid w:val="002A7E5B"/>
    <w:rsid w:val="002A7E93"/>
    <w:rsid w:val="002B0DCC"/>
    <w:rsid w:val="002B215B"/>
    <w:rsid w:val="002B326B"/>
    <w:rsid w:val="002B3934"/>
    <w:rsid w:val="002B3A50"/>
    <w:rsid w:val="002B4313"/>
    <w:rsid w:val="002B7714"/>
    <w:rsid w:val="002C0556"/>
    <w:rsid w:val="002C06AF"/>
    <w:rsid w:val="002C0A90"/>
    <w:rsid w:val="002C259F"/>
    <w:rsid w:val="002C33E0"/>
    <w:rsid w:val="002C3A39"/>
    <w:rsid w:val="002C4B94"/>
    <w:rsid w:val="002C573F"/>
    <w:rsid w:val="002C7575"/>
    <w:rsid w:val="002D0D31"/>
    <w:rsid w:val="002D12A3"/>
    <w:rsid w:val="002D146C"/>
    <w:rsid w:val="002D164F"/>
    <w:rsid w:val="002D3425"/>
    <w:rsid w:val="002D362F"/>
    <w:rsid w:val="002D3984"/>
    <w:rsid w:val="002D6074"/>
    <w:rsid w:val="002D640E"/>
    <w:rsid w:val="002D7BB2"/>
    <w:rsid w:val="002D7DB8"/>
    <w:rsid w:val="002E1145"/>
    <w:rsid w:val="002E137B"/>
    <w:rsid w:val="002E2FBE"/>
    <w:rsid w:val="002E3A62"/>
    <w:rsid w:val="002E4225"/>
    <w:rsid w:val="002E62AF"/>
    <w:rsid w:val="002E79DB"/>
    <w:rsid w:val="002F077C"/>
    <w:rsid w:val="002F1092"/>
    <w:rsid w:val="002F164D"/>
    <w:rsid w:val="002F1DED"/>
    <w:rsid w:val="002F22E3"/>
    <w:rsid w:val="002F29C5"/>
    <w:rsid w:val="002F2C0E"/>
    <w:rsid w:val="002F3329"/>
    <w:rsid w:val="002F5171"/>
    <w:rsid w:val="002F57A0"/>
    <w:rsid w:val="002F582F"/>
    <w:rsid w:val="002F6BA0"/>
    <w:rsid w:val="002F79FA"/>
    <w:rsid w:val="002F7F17"/>
    <w:rsid w:val="00301D56"/>
    <w:rsid w:val="00302B82"/>
    <w:rsid w:val="0030523F"/>
    <w:rsid w:val="00305259"/>
    <w:rsid w:val="00305CF6"/>
    <w:rsid w:val="0030647C"/>
    <w:rsid w:val="003066F6"/>
    <w:rsid w:val="00307EF8"/>
    <w:rsid w:val="00310088"/>
    <w:rsid w:val="003109A5"/>
    <w:rsid w:val="003121D5"/>
    <w:rsid w:val="003126D0"/>
    <w:rsid w:val="0031303D"/>
    <w:rsid w:val="003131AE"/>
    <w:rsid w:val="00314C2C"/>
    <w:rsid w:val="00315172"/>
    <w:rsid w:val="003167CD"/>
    <w:rsid w:val="0031733F"/>
    <w:rsid w:val="003179F7"/>
    <w:rsid w:val="00317DDE"/>
    <w:rsid w:val="00317EFE"/>
    <w:rsid w:val="0032066F"/>
    <w:rsid w:val="00320B83"/>
    <w:rsid w:val="00321A43"/>
    <w:rsid w:val="00321C60"/>
    <w:rsid w:val="003222D5"/>
    <w:rsid w:val="00322767"/>
    <w:rsid w:val="00322A3C"/>
    <w:rsid w:val="00322CD3"/>
    <w:rsid w:val="00323B6E"/>
    <w:rsid w:val="0032564D"/>
    <w:rsid w:val="00325918"/>
    <w:rsid w:val="00325BCF"/>
    <w:rsid w:val="00326A52"/>
    <w:rsid w:val="00326BBE"/>
    <w:rsid w:val="00326E42"/>
    <w:rsid w:val="00327024"/>
    <w:rsid w:val="0032741E"/>
    <w:rsid w:val="00330FF5"/>
    <w:rsid w:val="003310CA"/>
    <w:rsid w:val="003328B0"/>
    <w:rsid w:val="00332D95"/>
    <w:rsid w:val="00332FD4"/>
    <w:rsid w:val="00333BA2"/>
    <w:rsid w:val="00334CE2"/>
    <w:rsid w:val="00336FFD"/>
    <w:rsid w:val="00337DC3"/>
    <w:rsid w:val="00337F99"/>
    <w:rsid w:val="003417B7"/>
    <w:rsid w:val="003423C6"/>
    <w:rsid w:val="00342E68"/>
    <w:rsid w:val="00343B31"/>
    <w:rsid w:val="0034446D"/>
    <w:rsid w:val="003446CE"/>
    <w:rsid w:val="00344884"/>
    <w:rsid w:val="003448AA"/>
    <w:rsid w:val="00344B5B"/>
    <w:rsid w:val="00344B95"/>
    <w:rsid w:val="00344DD5"/>
    <w:rsid w:val="00347212"/>
    <w:rsid w:val="003472F8"/>
    <w:rsid w:val="00352245"/>
    <w:rsid w:val="00352905"/>
    <w:rsid w:val="00353C3E"/>
    <w:rsid w:val="00354677"/>
    <w:rsid w:val="00354688"/>
    <w:rsid w:val="0035477C"/>
    <w:rsid w:val="00354BC4"/>
    <w:rsid w:val="003555E1"/>
    <w:rsid w:val="00356E23"/>
    <w:rsid w:val="0035702D"/>
    <w:rsid w:val="00357E51"/>
    <w:rsid w:val="00357F83"/>
    <w:rsid w:val="003608AE"/>
    <w:rsid w:val="00360F11"/>
    <w:rsid w:val="00361128"/>
    <w:rsid w:val="00361CB2"/>
    <w:rsid w:val="00364069"/>
    <w:rsid w:val="00365123"/>
    <w:rsid w:val="003656DA"/>
    <w:rsid w:val="0036740B"/>
    <w:rsid w:val="00367FC1"/>
    <w:rsid w:val="0037055D"/>
    <w:rsid w:val="0037082B"/>
    <w:rsid w:val="0037088E"/>
    <w:rsid w:val="00370CE3"/>
    <w:rsid w:val="0037102E"/>
    <w:rsid w:val="003710D7"/>
    <w:rsid w:val="00372CE8"/>
    <w:rsid w:val="00373231"/>
    <w:rsid w:val="00373BFD"/>
    <w:rsid w:val="003752F8"/>
    <w:rsid w:val="00375D23"/>
    <w:rsid w:val="00376523"/>
    <w:rsid w:val="00377627"/>
    <w:rsid w:val="00377AC0"/>
    <w:rsid w:val="003802EC"/>
    <w:rsid w:val="00380771"/>
    <w:rsid w:val="003816F4"/>
    <w:rsid w:val="00381AC9"/>
    <w:rsid w:val="00382C15"/>
    <w:rsid w:val="00383F7D"/>
    <w:rsid w:val="00384666"/>
    <w:rsid w:val="00384CA8"/>
    <w:rsid w:val="00385154"/>
    <w:rsid w:val="00385CF4"/>
    <w:rsid w:val="00387A15"/>
    <w:rsid w:val="003913A9"/>
    <w:rsid w:val="003929F4"/>
    <w:rsid w:val="0039300A"/>
    <w:rsid w:val="003935EE"/>
    <w:rsid w:val="00393A14"/>
    <w:rsid w:val="00393BD0"/>
    <w:rsid w:val="00395342"/>
    <w:rsid w:val="003968D1"/>
    <w:rsid w:val="00397488"/>
    <w:rsid w:val="003A0027"/>
    <w:rsid w:val="003A044B"/>
    <w:rsid w:val="003A10AA"/>
    <w:rsid w:val="003A1CE9"/>
    <w:rsid w:val="003A3062"/>
    <w:rsid w:val="003A3304"/>
    <w:rsid w:val="003A3768"/>
    <w:rsid w:val="003A48CF"/>
    <w:rsid w:val="003A5A56"/>
    <w:rsid w:val="003A66A4"/>
    <w:rsid w:val="003A67D0"/>
    <w:rsid w:val="003B0489"/>
    <w:rsid w:val="003B08A7"/>
    <w:rsid w:val="003B1453"/>
    <w:rsid w:val="003B2401"/>
    <w:rsid w:val="003B2A1C"/>
    <w:rsid w:val="003B37BB"/>
    <w:rsid w:val="003B4F14"/>
    <w:rsid w:val="003B5DF5"/>
    <w:rsid w:val="003B6A41"/>
    <w:rsid w:val="003B6D8F"/>
    <w:rsid w:val="003C08C0"/>
    <w:rsid w:val="003C0BCA"/>
    <w:rsid w:val="003C12AF"/>
    <w:rsid w:val="003C1ABB"/>
    <w:rsid w:val="003C1C1C"/>
    <w:rsid w:val="003C335D"/>
    <w:rsid w:val="003C34B3"/>
    <w:rsid w:val="003C3D52"/>
    <w:rsid w:val="003C43C8"/>
    <w:rsid w:val="003C4B9C"/>
    <w:rsid w:val="003C4C2A"/>
    <w:rsid w:val="003C4DED"/>
    <w:rsid w:val="003C5898"/>
    <w:rsid w:val="003C595A"/>
    <w:rsid w:val="003C66A2"/>
    <w:rsid w:val="003C69C2"/>
    <w:rsid w:val="003D22CC"/>
    <w:rsid w:val="003D256F"/>
    <w:rsid w:val="003D3215"/>
    <w:rsid w:val="003D423B"/>
    <w:rsid w:val="003D5212"/>
    <w:rsid w:val="003D5636"/>
    <w:rsid w:val="003D645E"/>
    <w:rsid w:val="003D76BD"/>
    <w:rsid w:val="003E015A"/>
    <w:rsid w:val="003E05D0"/>
    <w:rsid w:val="003E1F86"/>
    <w:rsid w:val="003E1FCA"/>
    <w:rsid w:val="003E207B"/>
    <w:rsid w:val="003E2D9C"/>
    <w:rsid w:val="003E419E"/>
    <w:rsid w:val="003E4A11"/>
    <w:rsid w:val="003E4A50"/>
    <w:rsid w:val="003E59FA"/>
    <w:rsid w:val="003E5C8F"/>
    <w:rsid w:val="003E6CEA"/>
    <w:rsid w:val="003E72CB"/>
    <w:rsid w:val="003E747E"/>
    <w:rsid w:val="003E793B"/>
    <w:rsid w:val="003E7EAD"/>
    <w:rsid w:val="003F076A"/>
    <w:rsid w:val="003F2156"/>
    <w:rsid w:val="003F33B5"/>
    <w:rsid w:val="003F3402"/>
    <w:rsid w:val="003F37E6"/>
    <w:rsid w:val="003F3813"/>
    <w:rsid w:val="003F3CDD"/>
    <w:rsid w:val="003F4552"/>
    <w:rsid w:val="003F4B81"/>
    <w:rsid w:val="003F7484"/>
    <w:rsid w:val="00400B6A"/>
    <w:rsid w:val="00401AA8"/>
    <w:rsid w:val="00401AE5"/>
    <w:rsid w:val="00402E11"/>
    <w:rsid w:val="00403118"/>
    <w:rsid w:val="00404C9C"/>
    <w:rsid w:val="004050CB"/>
    <w:rsid w:val="00405DCC"/>
    <w:rsid w:val="004067E9"/>
    <w:rsid w:val="00406880"/>
    <w:rsid w:val="0040794D"/>
    <w:rsid w:val="00411348"/>
    <w:rsid w:val="0041217C"/>
    <w:rsid w:val="00412BE2"/>
    <w:rsid w:val="00412F6C"/>
    <w:rsid w:val="00413515"/>
    <w:rsid w:val="0041385D"/>
    <w:rsid w:val="00414C55"/>
    <w:rsid w:val="00416889"/>
    <w:rsid w:val="00416C34"/>
    <w:rsid w:val="00420331"/>
    <w:rsid w:val="00420B62"/>
    <w:rsid w:val="00421255"/>
    <w:rsid w:val="004214D4"/>
    <w:rsid w:val="004219BE"/>
    <w:rsid w:val="00422054"/>
    <w:rsid w:val="00422151"/>
    <w:rsid w:val="0042425D"/>
    <w:rsid w:val="00424A66"/>
    <w:rsid w:val="00424A67"/>
    <w:rsid w:val="004257C6"/>
    <w:rsid w:val="0042607E"/>
    <w:rsid w:val="00426351"/>
    <w:rsid w:val="004263B5"/>
    <w:rsid w:val="0042657E"/>
    <w:rsid w:val="004268C1"/>
    <w:rsid w:val="00427067"/>
    <w:rsid w:val="0042729C"/>
    <w:rsid w:val="00427C7D"/>
    <w:rsid w:val="00431491"/>
    <w:rsid w:val="004320FD"/>
    <w:rsid w:val="00435634"/>
    <w:rsid w:val="0043563F"/>
    <w:rsid w:val="00435D5E"/>
    <w:rsid w:val="004368DC"/>
    <w:rsid w:val="00437CF9"/>
    <w:rsid w:val="0044068C"/>
    <w:rsid w:val="0044097D"/>
    <w:rsid w:val="004410DD"/>
    <w:rsid w:val="0044199D"/>
    <w:rsid w:val="00443476"/>
    <w:rsid w:val="00443545"/>
    <w:rsid w:val="0044373E"/>
    <w:rsid w:val="00443A62"/>
    <w:rsid w:val="00443E6B"/>
    <w:rsid w:val="004466A3"/>
    <w:rsid w:val="0044749F"/>
    <w:rsid w:val="0044789C"/>
    <w:rsid w:val="00447B63"/>
    <w:rsid w:val="0045025D"/>
    <w:rsid w:val="004506E9"/>
    <w:rsid w:val="00450A7D"/>
    <w:rsid w:val="00450AAA"/>
    <w:rsid w:val="00450F65"/>
    <w:rsid w:val="00452282"/>
    <w:rsid w:val="004526E1"/>
    <w:rsid w:val="00452C9F"/>
    <w:rsid w:val="0045317B"/>
    <w:rsid w:val="0045338C"/>
    <w:rsid w:val="0045368C"/>
    <w:rsid w:val="004538FC"/>
    <w:rsid w:val="00454DF9"/>
    <w:rsid w:val="00454E7B"/>
    <w:rsid w:val="00455396"/>
    <w:rsid w:val="00455504"/>
    <w:rsid w:val="00455D1C"/>
    <w:rsid w:val="004612BC"/>
    <w:rsid w:val="004619B9"/>
    <w:rsid w:val="004620C2"/>
    <w:rsid w:val="00462F97"/>
    <w:rsid w:val="00463F77"/>
    <w:rsid w:val="004646A0"/>
    <w:rsid w:val="00466231"/>
    <w:rsid w:val="00466F8F"/>
    <w:rsid w:val="004674B2"/>
    <w:rsid w:val="00467B75"/>
    <w:rsid w:val="0047010E"/>
    <w:rsid w:val="00471141"/>
    <w:rsid w:val="004716F6"/>
    <w:rsid w:val="004718EB"/>
    <w:rsid w:val="00471CA3"/>
    <w:rsid w:val="00471EA1"/>
    <w:rsid w:val="00472437"/>
    <w:rsid w:val="00472FB5"/>
    <w:rsid w:val="00473F11"/>
    <w:rsid w:val="00474158"/>
    <w:rsid w:val="00474DCB"/>
    <w:rsid w:val="004756E8"/>
    <w:rsid w:val="0047588F"/>
    <w:rsid w:val="0047639E"/>
    <w:rsid w:val="00476D0C"/>
    <w:rsid w:val="00476E28"/>
    <w:rsid w:val="00476EC9"/>
    <w:rsid w:val="004804E6"/>
    <w:rsid w:val="00480884"/>
    <w:rsid w:val="00480F76"/>
    <w:rsid w:val="00481925"/>
    <w:rsid w:val="0048195F"/>
    <w:rsid w:val="00482546"/>
    <w:rsid w:val="004825E3"/>
    <w:rsid w:val="00482E38"/>
    <w:rsid w:val="00484B9E"/>
    <w:rsid w:val="004851DA"/>
    <w:rsid w:val="004856F3"/>
    <w:rsid w:val="0048607D"/>
    <w:rsid w:val="004863A5"/>
    <w:rsid w:val="004872E8"/>
    <w:rsid w:val="0048777B"/>
    <w:rsid w:val="00487AA6"/>
    <w:rsid w:val="00487C38"/>
    <w:rsid w:val="004909CE"/>
    <w:rsid w:val="0049105B"/>
    <w:rsid w:val="004914F1"/>
    <w:rsid w:val="00491836"/>
    <w:rsid w:val="00491FE2"/>
    <w:rsid w:val="00493CAA"/>
    <w:rsid w:val="0049466D"/>
    <w:rsid w:val="004949FA"/>
    <w:rsid w:val="00494FD0"/>
    <w:rsid w:val="004954B9"/>
    <w:rsid w:val="00496295"/>
    <w:rsid w:val="004A0612"/>
    <w:rsid w:val="004A0AEC"/>
    <w:rsid w:val="004A13B2"/>
    <w:rsid w:val="004A1F84"/>
    <w:rsid w:val="004A4771"/>
    <w:rsid w:val="004A5779"/>
    <w:rsid w:val="004A5B08"/>
    <w:rsid w:val="004A5D36"/>
    <w:rsid w:val="004A5FD6"/>
    <w:rsid w:val="004A638E"/>
    <w:rsid w:val="004A6898"/>
    <w:rsid w:val="004B0871"/>
    <w:rsid w:val="004B1672"/>
    <w:rsid w:val="004B27CA"/>
    <w:rsid w:val="004B3335"/>
    <w:rsid w:val="004B3B06"/>
    <w:rsid w:val="004B3CBB"/>
    <w:rsid w:val="004B53D3"/>
    <w:rsid w:val="004B5E9F"/>
    <w:rsid w:val="004B6AEC"/>
    <w:rsid w:val="004B7CD1"/>
    <w:rsid w:val="004C1B82"/>
    <w:rsid w:val="004C1C13"/>
    <w:rsid w:val="004C2346"/>
    <w:rsid w:val="004C5033"/>
    <w:rsid w:val="004C5BAF"/>
    <w:rsid w:val="004C680D"/>
    <w:rsid w:val="004C6845"/>
    <w:rsid w:val="004C696A"/>
    <w:rsid w:val="004C6A0D"/>
    <w:rsid w:val="004C6CDC"/>
    <w:rsid w:val="004C75BD"/>
    <w:rsid w:val="004C7B15"/>
    <w:rsid w:val="004C7CAD"/>
    <w:rsid w:val="004D1E73"/>
    <w:rsid w:val="004D2D3D"/>
    <w:rsid w:val="004D31AB"/>
    <w:rsid w:val="004D36CE"/>
    <w:rsid w:val="004D3D83"/>
    <w:rsid w:val="004D4DBC"/>
    <w:rsid w:val="004D633A"/>
    <w:rsid w:val="004D63DE"/>
    <w:rsid w:val="004D6487"/>
    <w:rsid w:val="004D6699"/>
    <w:rsid w:val="004D6F22"/>
    <w:rsid w:val="004D79B7"/>
    <w:rsid w:val="004D7FC1"/>
    <w:rsid w:val="004E0259"/>
    <w:rsid w:val="004E076A"/>
    <w:rsid w:val="004E0A62"/>
    <w:rsid w:val="004E0B15"/>
    <w:rsid w:val="004E1177"/>
    <w:rsid w:val="004E1AB4"/>
    <w:rsid w:val="004E2153"/>
    <w:rsid w:val="004E22B0"/>
    <w:rsid w:val="004E2438"/>
    <w:rsid w:val="004E24D4"/>
    <w:rsid w:val="004E2A3D"/>
    <w:rsid w:val="004E53CA"/>
    <w:rsid w:val="004E58A9"/>
    <w:rsid w:val="004E61B5"/>
    <w:rsid w:val="004E6D49"/>
    <w:rsid w:val="004E7925"/>
    <w:rsid w:val="004E7A6B"/>
    <w:rsid w:val="004F00F6"/>
    <w:rsid w:val="004F0625"/>
    <w:rsid w:val="004F0E81"/>
    <w:rsid w:val="004F1296"/>
    <w:rsid w:val="004F2EA8"/>
    <w:rsid w:val="004F3ADD"/>
    <w:rsid w:val="004F3C4E"/>
    <w:rsid w:val="004F3E14"/>
    <w:rsid w:val="004F4772"/>
    <w:rsid w:val="004F51F9"/>
    <w:rsid w:val="004F5A5E"/>
    <w:rsid w:val="004F6E85"/>
    <w:rsid w:val="004F7FA0"/>
    <w:rsid w:val="00500A53"/>
    <w:rsid w:val="00500B1F"/>
    <w:rsid w:val="00500C7D"/>
    <w:rsid w:val="0050235B"/>
    <w:rsid w:val="00505113"/>
    <w:rsid w:val="0050611B"/>
    <w:rsid w:val="005076CD"/>
    <w:rsid w:val="00507A13"/>
    <w:rsid w:val="005113AA"/>
    <w:rsid w:val="0051220A"/>
    <w:rsid w:val="00512340"/>
    <w:rsid w:val="00513035"/>
    <w:rsid w:val="005136AA"/>
    <w:rsid w:val="00514871"/>
    <w:rsid w:val="00514A0E"/>
    <w:rsid w:val="005159FD"/>
    <w:rsid w:val="00515CA2"/>
    <w:rsid w:val="005162BF"/>
    <w:rsid w:val="005201BA"/>
    <w:rsid w:val="005220F3"/>
    <w:rsid w:val="00522238"/>
    <w:rsid w:val="005234C8"/>
    <w:rsid w:val="005238E9"/>
    <w:rsid w:val="00524A7D"/>
    <w:rsid w:val="00524ECE"/>
    <w:rsid w:val="00525884"/>
    <w:rsid w:val="00525AEE"/>
    <w:rsid w:val="0052775C"/>
    <w:rsid w:val="00527C49"/>
    <w:rsid w:val="00527E61"/>
    <w:rsid w:val="00531962"/>
    <w:rsid w:val="00532B77"/>
    <w:rsid w:val="00532C0A"/>
    <w:rsid w:val="00532D95"/>
    <w:rsid w:val="005341FB"/>
    <w:rsid w:val="00534D27"/>
    <w:rsid w:val="005400C1"/>
    <w:rsid w:val="0054018E"/>
    <w:rsid w:val="00540B6B"/>
    <w:rsid w:val="00540D5A"/>
    <w:rsid w:val="00541433"/>
    <w:rsid w:val="00541646"/>
    <w:rsid w:val="00543C91"/>
    <w:rsid w:val="00543F70"/>
    <w:rsid w:val="00545003"/>
    <w:rsid w:val="0054581B"/>
    <w:rsid w:val="00545F36"/>
    <w:rsid w:val="00546304"/>
    <w:rsid w:val="0054661A"/>
    <w:rsid w:val="00546FDB"/>
    <w:rsid w:val="005503D6"/>
    <w:rsid w:val="00550B5E"/>
    <w:rsid w:val="00551887"/>
    <w:rsid w:val="00551BE8"/>
    <w:rsid w:val="00551D9E"/>
    <w:rsid w:val="00552C54"/>
    <w:rsid w:val="00553EEE"/>
    <w:rsid w:val="00554C5D"/>
    <w:rsid w:val="0055505F"/>
    <w:rsid w:val="0055614C"/>
    <w:rsid w:val="0055641E"/>
    <w:rsid w:val="00556BDC"/>
    <w:rsid w:val="00556EB4"/>
    <w:rsid w:val="005571E8"/>
    <w:rsid w:val="00557B90"/>
    <w:rsid w:val="0056009D"/>
    <w:rsid w:val="00560A8E"/>
    <w:rsid w:val="00562418"/>
    <w:rsid w:val="00562623"/>
    <w:rsid w:val="005629A6"/>
    <w:rsid w:val="00563FA8"/>
    <w:rsid w:val="005644BB"/>
    <w:rsid w:val="0056539B"/>
    <w:rsid w:val="0056790A"/>
    <w:rsid w:val="00567A0A"/>
    <w:rsid w:val="005701DF"/>
    <w:rsid w:val="00570974"/>
    <w:rsid w:val="00572F81"/>
    <w:rsid w:val="00573F41"/>
    <w:rsid w:val="005749F5"/>
    <w:rsid w:val="00575EC6"/>
    <w:rsid w:val="00576263"/>
    <w:rsid w:val="00576A94"/>
    <w:rsid w:val="005771DD"/>
    <w:rsid w:val="00577309"/>
    <w:rsid w:val="00581E3F"/>
    <w:rsid w:val="00582094"/>
    <w:rsid w:val="005821BE"/>
    <w:rsid w:val="0058272E"/>
    <w:rsid w:val="00582BB0"/>
    <w:rsid w:val="005845C3"/>
    <w:rsid w:val="00585DFA"/>
    <w:rsid w:val="00586216"/>
    <w:rsid w:val="00587308"/>
    <w:rsid w:val="00587BAE"/>
    <w:rsid w:val="00587DA7"/>
    <w:rsid w:val="005908C2"/>
    <w:rsid w:val="00590B08"/>
    <w:rsid w:val="00590B88"/>
    <w:rsid w:val="00590E32"/>
    <w:rsid w:val="00590E6A"/>
    <w:rsid w:val="00590ECD"/>
    <w:rsid w:val="00591D3B"/>
    <w:rsid w:val="00591D84"/>
    <w:rsid w:val="00592788"/>
    <w:rsid w:val="00592B22"/>
    <w:rsid w:val="00593910"/>
    <w:rsid w:val="005939FD"/>
    <w:rsid w:val="00593F1A"/>
    <w:rsid w:val="00596707"/>
    <w:rsid w:val="00596E52"/>
    <w:rsid w:val="00596EA0"/>
    <w:rsid w:val="00597087"/>
    <w:rsid w:val="005975FA"/>
    <w:rsid w:val="005A071F"/>
    <w:rsid w:val="005A14DF"/>
    <w:rsid w:val="005A1564"/>
    <w:rsid w:val="005A1F7B"/>
    <w:rsid w:val="005A2348"/>
    <w:rsid w:val="005A2B4C"/>
    <w:rsid w:val="005A378A"/>
    <w:rsid w:val="005A4039"/>
    <w:rsid w:val="005A4BA6"/>
    <w:rsid w:val="005A4D36"/>
    <w:rsid w:val="005A4D90"/>
    <w:rsid w:val="005A6461"/>
    <w:rsid w:val="005A6A5D"/>
    <w:rsid w:val="005A735C"/>
    <w:rsid w:val="005A7F4C"/>
    <w:rsid w:val="005B0041"/>
    <w:rsid w:val="005B0C09"/>
    <w:rsid w:val="005B0DFB"/>
    <w:rsid w:val="005B1CAD"/>
    <w:rsid w:val="005B1D21"/>
    <w:rsid w:val="005B216B"/>
    <w:rsid w:val="005B2F44"/>
    <w:rsid w:val="005B3364"/>
    <w:rsid w:val="005B36E6"/>
    <w:rsid w:val="005B424E"/>
    <w:rsid w:val="005B53F9"/>
    <w:rsid w:val="005B5896"/>
    <w:rsid w:val="005B63F8"/>
    <w:rsid w:val="005B642D"/>
    <w:rsid w:val="005B6796"/>
    <w:rsid w:val="005B6ED7"/>
    <w:rsid w:val="005B7259"/>
    <w:rsid w:val="005B78FB"/>
    <w:rsid w:val="005C01FC"/>
    <w:rsid w:val="005C1971"/>
    <w:rsid w:val="005C1BB5"/>
    <w:rsid w:val="005C2FFA"/>
    <w:rsid w:val="005C51E6"/>
    <w:rsid w:val="005C5560"/>
    <w:rsid w:val="005C67FD"/>
    <w:rsid w:val="005C778E"/>
    <w:rsid w:val="005C789A"/>
    <w:rsid w:val="005C78A2"/>
    <w:rsid w:val="005C7FDE"/>
    <w:rsid w:val="005D187A"/>
    <w:rsid w:val="005D1882"/>
    <w:rsid w:val="005D1E17"/>
    <w:rsid w:val="005D25F3"/>
    <w:rsid w:val="005D3410"/>
    <w:rsid w:val="005D3440"/>
    <w:rsid w:val="005D46B5"/>
    <w:rsid w:val="005D4C3E"/>
    <w:rsid w:val="005D4F8E"/>
    <w:rsid w:val="005D7A43"/>
    <w:rsid w:val="005E0126"/>
    <w:rsid w:val="005E1271"/>
    <w:rsid w:val="005E2349"/>
    <w:rsid w:val="005E2D76"/>
    <w:rsid w:val="005E303B"/>
    <w:rsid w:val="005E39C5"/>
    <w:rsid w:val="005E56C4"/>
    <w:rsid w:val="005E5FE6"/>
    <w:rsid w:val="005E6469"/>
    <w:rsid w:val="005E6FC8"/>
    <w:rsid w:val="005E73D9"/>
    <w:rsid w:val="005E74E3"/>
    <w:rsid w:val="005E7D8F"/>
    <w:rsid w:val="005F064B"/>
    <w:rsid w:val="005F0D70"/>
    <w:rsid w:val="005F1288"/>
    <w:rsid w:val="005F1C22"/>
    <w:rsid w:val="005F24C3"/>
    <w:rsid w:val="005F27E1"/>
    <w:rsid w:val="005F31A9"/>
    <w:rsid w:val="005F3C86"/>
    <w:rsid w:val="005F51E3"/>
    <w:rsid w:val="005F6054"/>
    <w:rsid w:val="005F63FA"/>
    <w:rsid w:val="005F66C4"/>
    <w:rsid w:val="005F6968"/>
    <w:rsid w:val="005F6B82"/>
    <w:rsid w:val="005F6D0A"/>
    <w:rsid w:val="005F787E"/>
    <w:rsid w:val="005F7AA9"/>
    <w:rsid w:val="005F7BE8"/>
    <w:rsid w:val="00600861"/>
    <w:rsid w:val="006011E9"/>
    <w:rsid w:val="00601249"/>
    <w:rsid w:val="006017D4"/>
    <w:rsid w:val="00601EAE"/>
    <w:rsid w:val="00603530"/>
    <w:rsid w:val="00603682"/>
    <w:rsid w:val="00603E8C"/>
    <w:rsid w:val="00604F1C"/>
    <w:rsid w:val="006050A4"/>
    <w:rsid w:val="0060512B"/>
    <w:rsid w:val="00610239"/>
    <w:rsid w:val="006119A0"/>
    <w:rsid w:val="00611D44"/>
    <w:rsid w:val="00612372"/>
    <w:rsid w:val="006126BF"/>
    <w:rsid w:val="00613FA6"/>
    <w:rsid w:val="00614A5A"/>
    <w:rsid w:val="00614D02"/>
    <w:rsid w:val="00615442"/>
    <w:rsid w:val="00615DB7"/>
    <w:rsid w:val="00617914"/>
    <w:rsid w:val="00617EAF"/>
    <w:rsid w:val="00620164"/>
    <w:rsid w:val="00621D10"/>
    <w:rsid w:val="00622C31"/>
    <w:rsid w:val="0062428D"/>
    <w:rsid w:val="00624B94"/>
    <w:rsid w:val="00625204"/>
    <w:rsid w:val="00625E4F"/>
    <w:rsid w:val="0062638B"/>
    <w:rsid w:val="00627ECF"/>
    <w:rsid w:val="00630D1F"/>
    <w:rsid w:val="00631247"/>
    <w:rsid w:val="00631842"/>
    <w:rsid w:val="00631B83"/>
    <w:rsid w:val="00632703"/>
    <w:rsid w:val="0063449B"/>
    <w:rsid w:val="00634598"/>
    <w:rsid w:val="006345B2"/>
    <w:rsid w:val="00634840"/>
    <w:rsid w:val="00635602"/>
    <w:rsid w:val="00635729"/>
    <w:rsid w:val="00635E3D"/>
    <w:rsid w:val="006366A3"/>
    <w:rsid w:val="00640329"/>
    <w:rsid w:val="00640611"/>
    <w:rsid w:val="006407F4"/>
    <w:rsid w:val="006428E8"/>
    <w:rsid w:val="0064305C"/>
    <w:rsid w:val="006431D4"/>
    <w:rsid w:val="00644D13"/>
    <w:rsid w:val="00644DC1"/>
    <w:rsid w:val="0064540E"/>
    <w:rsid w:val="00647C47"/>
    <w:rsid w:val="0065055B"/>
    <w:rsid w:val="00651581"/>
    <w:rsid w:val="00651804"/>
    <w:rsid w:val="0065180F"/>
    <w:rsid w:val="00651D21"/>
    <w:rsid w:val="00652C73"/>
    <w:rsid w:val="00652EDB"/>
    <w:rsid w:val="006540D9"/>
    <w:rsid w:val="00654ACD"/>
    <w:rsid w:val="00655DA5"/>
    <w:rsid w:val="006561D8"/>
    <w:rsid w:val="00657270"/>
    <w:rsid w:val="006602B4"/>
    <w:rsid w:val="006605FE"/>
    <w:rsid w:val="00660AA9"/>
    <w:rsid w:val="0066163F"/>
    <w:rsid w:val="00662DEC"/>
    <w:rsid w:val="00663EE8"/>
    <w:rsid w:val="00664C90"/>
    <w:rsid w:val="00664D56"/>
    <w:rsid w:val="00664EC4"/>
    <w:rsid w:val="00665514"/>
    <w:rsid w:val="00665CC0"/>
    <w:rsid w:val="00665D27"/>
    <w:rsid w:val="00666932"/>
    <w:rsid w:val="00666AA1"/>
    <w:rsid w:val="00667325"/>
    <w:rsid w:val="006677A1"/>
    <w:rsid w:val="006678EE"/>
    <w:rsid w:val="00667E2F"/>
    <w:rsid w:val="006706DE"/>
    <w:rsid w:val="00670C1F"/>
    <w:rsid w:val="00671A96"/>
    <w:rsid w:val="006723D4"/>
    <w:rsid w:val="006723ED"/>
    <w:rsid w:val="006724A4"/>
    <w:rsid w:val="006724EB"/>
    <w:rsid w:val="00672D95"/>
    <w:rsid w:val="006734BD"/>
    <w:rsid w:val="006737AD"/>
    <w:rsid w:val="00673BDC"/>
    <w:rsid w:val="00673FD1"/>
    <w:rsid w:val="0067471D"/>
    <w:rsid w:val="00674E08"/>
    <w:rsid w:val="00675358"/>
    <w:rsid w:val="0067591D"/>
    <w:rsid w:val="006764A6"/>
    <w:rsid w:val="006769EE"/>
    <w:rsid w:val="00680050"/>
    <w:rsid w:val="0068029B"/>
    <w:rsid w:val="006802A1"/>
    <w:rsid w:val="00680B04"/>
    <w:rsid w:val="0068131A"/>
    <w:rsid w:val="006813AC"/>
    <w:rsid w:val="00683CE3"/>
    <w:rsid w:val="00683DD7"/>
    <w:rsid w:val="00684607"/>
    <w:rsid w:val="006847C0"/>
    <w:rsid w:val="006848CC"/>
    <w:rsid w:val="00684C40"/>
    <w:rsid w:val="00686977"/>
    <w:rsid w:val="00686A59"/>
    <w:rsid w:val="0068718A"/>
    <w:rsid w:val="006876E7"/>
    <w:rsid w:val="0069026A"/>
    <w:rsid w:val="0069324B"/>
    <w:rsid w:val="00693530"/>
    <w:rsid w:val="0069463A"/>
    <w:rsid w:val="00694C27"/>
    <w:rsid w:val="006958E0"/>
    <w:rsid w:val="00696111"/>
    <w:rsid w:val="006A0A51"/>
    <w:rsid w:val="006A0C7F"/>
    <w:rsid w:val="006A0CB9"/>
    <w:rsid w:val="006A25D9"/>
    <w:rsid w:val="006A283E"/>
    <w:rsid w:val="006A3095"/>
    <w:rsid w:val="006A30A0"/>
    <w:rsid w:val="006A5170"/>
    <w:rsid w:val="006A578E"/>
    <w:rsid w:val="006A655F"/>
    <w:rsid w:val="006A6A4C"/>
    <w:rsid w:val="006A6B32"/>
    <w:rsid w:val="006A6B92"/>
    <w:rsid w:val="006A6DB7"/>
    <w:rsid w:val="006A79C0"/>
    <w:rsid w:val="006A7C18"/>
    <w:rsid w:val="006A7EC8"/>
    <w:rsid w:val="006B0624"/>
    <w:rsid w:val="006B2720"/>
    <w:rsid w:val="006B27A9"/>
    <w:rsid w:val="006B2EFB"/>
    <w:rsid w:val="006B3333"/>
    <w:rsid w:val="006B34DD"/>
    <w:rsid w:val="006B3541"/>
    <w:rsid w:val="006B52F3"/>
    <w:rsid w:val="006B5D22"/>
    <w:rsid w:val="006B5E91"/>
    <w:rsid w:val="006B60B9"/>
    <w:rsid w:val="006B7755"/>
    <w:rsid w:val="006C13C7"/>
    <w:rsid w:val="006C1895"/>
    <w:rsid w:val="006C284B"/>
    <w:rsid w:val="006C452B"/>
    <w:rsid w:val="006C486D"/>
    <w:rsid w:val="006C4A62"/>
    <w:rsid w:val="006C63CF"/>
    <w:rsid w:val="006C6851"/>
    <w:rsid w:val="006C6A19"/>
    <w:rsid w:val="006C6D31"/>
    <w:rsid w:val="006C7199"/>
    <w:rsid w:val="006D0335"/>
    <w:rsid w:val="006D0D83"/>
    <w:rsid w:val="006D1F75"/>
    <w:rsid w:val="006D31BA"/>
    <w:rsid w:val="006D3835"/>
    <w:rsid w:val="006D39E1"/>
    <w:rsid w:val="006D3BFA"/>
    <w:rsid w:val="006D3D01"/>
    <w:rsid w:val="006D4015"/>
    <w:rsid w:val="006D41AD"/>
    <w:rsid w:val="006D4317"/>
    <w:rsid w:val="006D5780"/>
    <w:rsid w:val="006D5CAD"/>
    <w:rsid w:val="006D7CEE"/>
    <w:rsid w:val="006D7D8A"/>
    <w:rsid w:val="006E0151"/>
    <w:rsid w:val="006E0FBF"/>
    <w:rsid w:val="006E170E"/>
    <w:rsid w:val="006E19A9"/>
    <w:rsid w:val="006E1B1B"/>
    <w:rsid w:val="006E3715"/>
    <w:rsid w:val="006E37CA"/>
    <w:rsid w:val="006E4061"/>
    <w:rsid w:val="006E4DCE"/>
    <w:rsid w:val="006E4EC9"/>
    <w:rsid w:val="006E511D"/>
    <w:rsid w:val="006E5204"/>
    <w:rsid w:val="006E539B"/>
    <w:rsid w:val="006E5933"/>
    <w:rsid w:val="006E6494"/>
    <w:rsid w:val="006E649A"/>
    <w:rsid w:val="006E7460"/>
    <w:rsid w:val="006E7741"/>
    <w:rsid w:val="006F01BE"/>
    <w:rsid w:val="006F12EB"/>
    <w:rsid w:val="006F1F7B"/>
    <w:rsid w:val="006F3E80"/>
    <w:rsid w:val="006F43C5"/>
    <w:rsid w:val="006F4B48"/>
    <w:rsid w:val="006F5BC4"/>
    <w:rsid w:val="006F5E6E"/>
    <w:rsid w:val="006F7DA5"/>
    <w:rsid w:val="0070002C"/>
    <w:rsid w:val="00700E9F"/>
    <w:rsid w:val="0070163D"/>
    <w:rsid w:val="00701AD2"/>
    <w:rsid w:val="00701F7D"/>
    <w:rsid w:val="0070287F"/>
    <w:rsid w:val="007028BE"/>
    <w:rsid w:val="00702BA0"/>
    <w:rsid w:val="0070502B"/>
    <w:rsid w:val="00705F93"/>
    <w:rsid w:val="00706663"/>
    <w:rsid w:val="00707BB5"/>
    <w:rsid w:val="007107C3"/>
    <w:rsid w:val="007115AE"/>
    <w:rsid w:val="00712083"/>
    <w:rsid w:val="00715207"/>
    <w:rsid w:val="00715338"/>
    <w:rsid w:val="00715468"/>
    <w:rsid w:val="00720020"/>
    <w:rsid w:val="00720246"/>
    <w:rsid w:val="00720C99"/>
    <w:rsid w:val="00721161"/>
    <w:rsid w:val="00721722"/>
    <w:rsid w:val="0072185A"/>
    <w:rsid w:val="00722403"/>
    <w:rsid w:val="0072253E"/>
    <w:rsid w:val="00722970"/>
    <w:rsid w:val="00722EC9"/>
    <w:rsid w:val="0072365A"/>
    <w:rsid w:val="007238E1"/>
    <w:rsid w:val="00723C00"/>
    <w:rsid w:val="007242C7"/>
    <w:rsid w:val="00724619"/>
    <w:rsid w:val="00724BEB"/>
    <w:rsid w:val="007253DF"/>
    <w:rsid w:val="00725B53"/>
    <w:rsid w:val="00726E2A"/>
    <w:rsid w:val="007275B4"/>
    <w:rsid w:val="00727A57"/>
    <w:rsid w:val="007317B4"/>
    <w:rsid w:val="007317DA"/>
    <w:rsid w:val="00732C95"/>
    <w:rsid w:val="007332FC"/>
    <w:rsid w:val="007345F1"/>
    <w:rsid w:val="00734616"/>
    <w:rsid w:val="00734EBF"/>
    <w:rsid w:val="00734FAA"/>
    <w:rsid w:val="00736D6C"/>
    <w:rsid w:val="0073714D"/>
    <w:rsid w:val="0074061F"/>
    <w:rsid w:val="00743567"/>
    <w:rsid w:val="00743600"/>
    <w:rsid w:val="00743C85"/>
    <w:rsid w:val="00744517"/>
    <w:rsid w:val="00744D69"/>
    <w:rsid w:val="00745391"/>
    <w:rsid w:val="00745A24"/>
    <w:rsid w:val="00746257"/>
    <w:rsid w:val="0074676F"/>
    <w:rsid w:val="007468E4"/>
    <w:rsid w:val="00746BF4"/>
    <w:rsid w:val="00747BC4"/>
    <w:rsid w:val="00750E90"/>
    <w:rsid w:val="0075117B"/>
    <w:rsid w:val="0075294C"/>
    <w:rsid w:val="00752DB0"/>
    <w:rsid w:val="007539ED"/>
    <w:rsid w:val="0075422E"/>
    <w:rsid w:val="0075426D"/>
    <w:rsid w:val="007544C6"/>
    <w:rsid w:val="00755454"/>
    <w:rsid w:val="00755ECE"/>
    <w:rsid w:val="007568BA"/>
    <w:rsid w:val="00756D09"/>
    <w:rsid w:val="00757D9E"/>
    <w:rsid w:val="0076017A"/>
    <w:rsid w:val="007603DE"/>
    <w:rsid w:val="00761980"/>
    <w:rsid w:val="00762E47"/>
    <w:rsid w:val="00763C8F"/>
    <w:rsid w:val="00764145"/>
    <w:rsid w:val="0076573F"/>
    <w:rsid w:val="00765C2A"/>
    <w:rsid w:val="00770679"/>
    <w:rsid w:val="00770E04"/>
    <w:rsid w:val="00770E16"/>
    <w:rsid w:val="007710C0"/>
    <w:rsid w:val="007710CD"/>
    <w:rsid w:val="0077216B"/>
    <w:rsid w:val="007746EA"/>
    <w:rsid w:val="00774C4F"/>
    <w:rsid w:val="00774CF7"/>
    <w:rsid w:val="0077510E"/>
    <w:rsid w:val="00775E5A"/>
    <w:rsid w:val="0077737E"/>
    <w:rsid w:val="0077782A"/>
    <w:rsid w:val="00780489"/>
    <w:rsid w:val="00780F20"/>
    <w:rsid w:val="00780FFC"/>
    <w:rsid w:val="00781CE2"/>
    <w:rsid w:val="00782785"/>
    <w:rsid w:val="00782837"/>
    <w:rsid w:val="00782861"/>
    <w:rsid w:val="00782B8A"/>
    <w:rsid w:val="00783AE6"/>
    <w:rsid w:val="00783C3A"/>
    <w:rsid w:val="00783E64"/>
    <w:rsid w:val="007840BF"/>
    <w:rsid w:val="00784A52"/>
    <w:rsid w:val="00785379"/>
    <w:rsid w:val="0078546A"/>
    <w:rsid w:val="007856C5"/>
    <w:rsid w:val="00785A13"/>
    <w:rsid w:val="00785B43"/>
    <w:rsid w:val="00785D35"/>
    <w:rsid w:val="00785DD5"/>
    <w:rsid w:val="00787AED"/>
    <w:rsid w:val="00790360"/>
    <w:rsid w:val="00790835"/>
    <w:rsid w:val="00790B71"/>
    <w:rsid w:val="00790E16"/>
    <w:rsid w:val="007910B7"/>
    <w:rsid w:val="00791482"/>
    <w:rsid w:val="0079167F"/>
    <w:rsid w:val="007919EA"/>
    <w:rsid w:val="00791A86"/>
    <w:rsid w:val="0079214D"/>
    <w:rsid w:val="00792A81"/>
    <w:rsid w:val="007940D7"/>
    <w:rsid w:val="00794E4C"/>
    <w:rsid w:val="007955A7"/>
    <w:rsid w:val="00796A69"/>
    <w:rsid w:val="0079711A"/>
    <w:rsid w:val="00797285"/>
    <w:rsid w:val="007A041C"/>
    <w:rsid w:val="007A0880"/>
    <w:rsid w:val="007A08D9"/>
    <w:rsid w:val="007A09BA"/>
    <w:rsid w:val="007A3047"/>
    <w:rsid w:val="007A439F"/>
    <w:rsid w:val="007A43D1"/>
    <w:rsid w:val="007A4956"/>
    <w:rsid w:val="007A4EBC"/>
    <w:rsid w:val="007A58EE"/>
    <w:rsid w:val="007A594B"/>
    <w:rsid w:val="007A605D"/>
    <w:rsid w:val="007A6534"/>
    <w:rsid w:val="007A7FF4"/>
    <w:rsid w:val="007B12A9"/>
    <w:rsid w:val="007B16FA"/>
    <w:rsid w:val="007B2A13"/>
    <w:rsid w:val="007B2F83"/>
    <w:rsid w:val="007B4462"/>
    <w:rsid w:val="007B47B6"/>
    <w:rsid w:val="007B582B"/>
    <w:rsid w:val="007B5C7D"/>
    <w:rsid w:val="007B67CA"/>
    <w:rsid w:val="007B74BF"/>
    <w:rsid w:val="007B7F4A"/>
    <w:rsid w:val="007C0524"/>
    <w:rsid w:val="007C0B5D"/>
    <w:rsid w:val="007C0CE6"/>
    <w:rsid w:val="007C1F0A"/>
    <w:rsid w:val="007C2CA1"/>
    <w:rsid w:val="007C33ED"/>
    <w:rsid w:val="007C3E8B"/>
    <w:rsid w:val="007C4027"/>
    <w:rsid w:val="007C50A6"/>
    <w:rsid w:val="007C5AC6"/>
    <w:rsid w:val="007C6536"/>
    <w:rsid w:val="007C75C0"/>
    <w:rsid w:val="007C75C9"/>
    <w:rsid w:val="007D00A5"/>
    <w:rsid w:val="007D0CD4"/>
    <w:rsid w:val="007D0F16"/>
    <w:rsid w:val="007D15E0"/>
    <w:rsid w:val="007D18DB"/>
    <w:rsid w:val="007D20F4"/>
    <w:rsid w:val="007D283A"/>
    <w:rsid w:val="007D338F"/>
    <w:rsid w:val="007D392C"/>
    <w:rsid w:val="007D4052"/>
    <w:rsid w:val="007D4359"/>
    <w:rsid w:val="007D4451"/>
    <w:rsid w:val="007D4B6F"/>
    <w:rsid w:val="007D5143"/>
    <w:rsid w:val="007D5529"/>
    <w:rsid w:val="007D6314"/>
    <w:rsid w:val="007D692B"/>
    <w:rsid w:val="007D7060"/>
    <w:rsid w:val="007D7127"/>
    <w:rsid w:val="007D793B"/>
    <w:rsid w:val="007D79EA"/>
    <w:rsid w:val="007E070B"/>
    <w:rsid w:val="007E0C6C"/>
    <w:rsid w:val="007E122B"/>
    <w:rsid w:val="007E22A0"/>
    <w:rsid w:val="007E38ED"/>
    <w:rsid w:val="007E6E37"/>
    <w:rsid w:val="007E7C15"/>
    <w:rsid w:val="007E7EAC"/>
    <w:rsid w:val="007F00EF"/>
    <w:rsid w:val="007F05CC"/>
    <w:rsid w:val="007F0E81"/>
    <w:rsid w:val="007F1B6D"/>
    <w:rsid w:val="007F1DCF"/>
    <w:rsid w:val="007F1DD1"/>
    <w:rsid w:val="007F1DFC"/>
    <w:rsid w:val="007F1EA7"/>
    <w:rsid w:val="007F236D"/>
    <w:rsid w:val="007F388F"/>
    <w:rsid w:val="007F4A2E"/>
    <w:rsid w:val="007F6F51"/>
    <w:rsid w:val="007F7299"/>
    <w:rsid w:val="007F7892"/>
    <w:rsid w:val="007F7EAF"/>
    <w:rsid w:val="007F7FCF"/>
    <w:rsid w:val="00800466"/>
    <w:rsid w:val="008019CF"/>
    <w:rsid w:val="008024BF"/>
    <w:rsid w:val="008024CE"/>
    <w:rsid w:val="00802EAE"/>
    <w:rsid w:val="00803149"/>
    <w:rsid w:val="00803E1B"/>
    <w:rsid w:val="008046D9"/>
    <w:rsid w:val="008053E3"/>
    <w:rsid w:val="008054F0"/>
    <w:rsid w:val="00805706"/>
    <w:rsid w:val="008059AF"/>
    <w:rsid w:val="0080667A"/>
    <w:rsid w:val="008071F1"/>
    <w:rsid w:val="008074F5"/>
    <w:rsid w:val="00811F03"/>
    <w:rsid w:val="008143BD"/>
    <w:rsid w:val="008143C4"/>
    <w:rsid w:val="00814F40"/>
    <w:rsid w:val="00815150"/>
    <w:rsid w:val="00815DBC"/>
    <w:rsid w:val="008167EA"/>
    <w:rsid w:val="008168E0"/>
    <w:rsid w:val="00816A65"/>
    <w:rsid w:val="00817E32"/>
    <w:rsid w:val="0082074F"/>
    <w:rsid w:val="008213F2"/>
    <w:rsid w:val="008216DC"/>
    <w:rsid w:val="00823A7D"/>
    <w:rsid w:val="00823AD8"/>
    <w:rsid w:val="00825081"/>
    <w:rsid w:val="008253DA"/>
    <w:rsid w:val="00825D58"/>
    <w:rsid w:val="0082665F"/>
    <w:rsid w:val="00830378"/>
    <w:rsid w:val="00830D7F"/>
    <w:rsid w:val="00831748"/>
    <w:rsid w:val="00831DF7"/>
    <w:rsid w:val="00832274"/>
    <w:rsid w:val="008334B9"/>
    <w:rsid w:val="008335BD"/>
    <w:rsid w:val="00833E1C"/>
    <w:rsid w:val="00834D43"/>
    <w:rsid w:val="00834E3C"/>
    <w:rsid w:val="00834FF8"/>
    <w:rsid w:val="00835248"/>
    <w:rsid w:val="00835828"/>
    <w:rsid w:val="00836045"/>
    <w:rsid w:val="00836219"/>
    <w:rsid w:val="00836D4F"/>
    <w:rsid w:val="008371BC"/>
    <w:rsid w:val="00837C36"/>
    <w:rsid w:val="00837CB4"/>
    <w:rsid w:val="00837FFD"/>
    <w:rsid w:val="00841D9A"/>
    <w:rsid w:val="008428FC"/>
    <w:rsid w:val="00842ACB"/>
    <w:rsid w:val="00842C6D"/>
    <w:rsid w:val="008430EF"/>
    <w:rsid w:val="0084335F"/>
    <w:rsid w:val="0084367B"/>
    <w:rsid w:val="00844697"/>
    <w:rsid w:val="00844C88"/>
    <w:rsid w:val="0084559A"/>
    <w:rsid w:val="00846032"/>
    <w:rsid w:val="008469AF"/>
    <w:rsid w:val="00847037"/>
    <w:rsid w:val="00847FAA"/>
    <w:rsid w:val="00850781"/>
    <w:rsid w:val="00851452"/>
    <w:rsid w:val="00851AFD"/>
    <w:rsid w:val="00851D78"/>
    <w:rsid w:val="00851E63"/>
    <w:rsid w:val="008523B4"/>
    <w:rsid w:val="00852DE7"/>
    <w:rsid w:val="008538F3"/>
    <w:rsid w:val="00853C87"/>
    <w:rsid w:val="00855FA0"/>
    <w:rsid w:val="0085736B"/>
    <w:rsid w:val="008600BB"/>
    <w:rsid w:val="00861B4D"/>
    <w:rsid w:val="00865259"/>
    <w:rsid w:val="008652D7"/>
    <w:rsid w:val="00865DD8"/>
    <w:rsid w:val="00867D0F"/>
    <w:rsid w:val="00867F79"/>
    <w:rsid w:val="0087047E"/>
    <w:rsid w:val="0087052C"/>
    <w:rsid w:val="0087066B"/>
    <w:rsid w:val="008706A5"/>
    <w:rsid w:val="008708C1"/>
    <w:rsid w:val="008709F7"/>
    <w:rsid w:val="00870C20"/>
    <w:rsid w:val="00871DFC"/>
    <w:rsid w:val="008730B7"/>
    <w:rsid w:val="00873A6A"/>
    <w:rsid w:val="00873B82"/>
    <w:rsid w:val="00873E16"/>
    <w:rsid w:val="00873EAD"/>
    <w:rsid w:val="00876014"/>
    <w:rsid w:val="008760B5"/>
    <w:rsid w:val="00876F60"/>
    <w:rsid w:val="00877040"/>
    <w:rsid w:val="00877DCD"/>
    <w:rsid w:val="00880E98"/>
    <w:rsid w:val="00881406"/>
    <w:rsid w:val="0088172F"/>
    <w:rsid w:val="00882199"/>
    <w:rsid w:val="00882B7C"/>
    <w:rsid w:val="00883219"/>
    <w:rsid w:val="00883326"/>
    <w:rsid w:val="00883E90"/>
    <w:rsid w:val="00884A09"/>
    <w:rsid w:val="00886A5E"/>
    <w:rsid w:val="00886CF9"/>
    <w:rsid w:val="008870D6"/>
    <w:rsid w:val="008870EA"/>
    <w:rsid w:val="0088712D"/>
    <w:rsid w:val="00887A97"/>
    <w:rsid w:val="00887AB5"/>
    <w:rsid w:val="0089019C"/>
    <w:rsid w:val="00890565"/>
    <w:rsid w:val="00890F90"/>
    <w:rsid w:val="00891025"/>
    <w:rsid w:val="0089239F"/>
    <w:rsid w:val="00892AA6"/>
    <w:rsid w:val="008934A7"/>
    <w:rsid w:val="0089422F"/>
    <w:rsid w:val="008942D5"/>
    <w:rsid w:val="00895437"/>
    <w:rsid w:val="008957A4"/>
    <w:rsid w:val="008964DB"/>
    <w:rsid w:val="00897CCA"/>
    <w:rsid w:val="008A06CA"/>
    <w:rsid w:val="008A074C"/>
    <w:rsid w:val="008A0AF4"/>
    <w:rsid w:val="008A0D83"/>
    <w:rsid w:val="008A2C0D"/>
    <w:rsid w:val="008A3255"/>
    <w:rsid w:val="008A432D"/>
    <w:rsid w:val="008A493D"/>
    <w:rsid w:val="008A66F0"/>
    <w:rsid w:val="008A69C8"/>
    <w:rsid w:val="008A7CBB"/>
    <w:rsid w:val="008B10F1"/>
    <w:rsid w:val="008B2852"/>
    <w:rsid w:val="008B2AE6"/>
    <w:rsid w:val="008B3F71"/>
    <w:rsid w:val="008B41F3"/>
    <w:rsid w:val="008B4C2E"/>
    <w:rsid w:val="008B4CC6"/>
    <w:rsid w:val="008B527A"/>
    <w:rsid w:val="008B58E3"/>
    <w:rsid w:val="008B5EF9"/>
    <w:rsid w:val="008B7328"/>
    <w:rsid w:val="008B7B90"/>
    <w:rsid w:val="008B7CBB"/>
    <w:rsid w:val="008C0BC6"/>
    <w:rsid w:val="008C0F47"/>
    <w:rsid w:val="008C12D4"/>
    <w:rsid w:val="008C1BFB"/>
    <w:rsid w:val="008C2345"/>
    <w:rsid w:val="008C2D3A"/>
    <w:rsid w:val="008C3547"/>
    <w:rsid w:val="008C4768"/>
    <w:rsid w:val="008C5F93"/>
    <w:rsid w:val="008C6137"/>
    <w:rsid w:val="008C646A"/>
    <w:rsid w:val="008C649D"/>
    <w:rsid w:val="008C7139"/>
    <w:rsid w:val="008C7FB5"/>
    <w:rsid w:val="008D2158"/>
    <w:rsid w:val="008D3AAC"/>
    <w:rsid w:val="008D3C1E"/>
    <w:rsid w:val="008D494F"/>
    <w:rsid w:val="008D5194"/>
    <w:rsid w:val="008D5C14"/>
    <w:rsid w:val="008D762A"/>
    <w:rsid w:val="008D7B95"/>
    <w:rsid w:val="008D7EBB"/>
    <w:rsid w:val="008E05B9"/>
    <w:rsid w:val="008E08B7"/>
    <w:rsid w:val="008E148C"/>
    <w:rsid w:val="008E14D8"/>
    <w:rsid w:val="008E1661"/>
    <w:rsid w:val="008E397A"/>
    <w:rsid w:val="008E3AB4"/>
    <w:rsid w:val="008E459F"/>
    <w:rsid w:val="008E48A6"/>
    <w:rsid w:val="008E4FAD"/>
    <w:rsid w:val="008E5561"/>
    <w:rsid w:val="008E62F8"/>
    <w:rsid w:val="008E6674"/>
    <w:rsid w:val="008E6D2E"/>
    <w:rsid w:val="008E7BCB"/>
    <w:rsid w:val="008F018B"/>
    <w:rsid w:val="008F0298"/>
    <w:rsid w:val="008F10C2"/>
    <w:rsid w:val="008F22D8"/>
    <w:rsid w:val="008F2D67"/>
    <w:rsid w:val="008F2E55"/>
    <w:rsid w:val="008F3C34"/>
    <w:rsid w:val="008F4E7A"/>
    <w:rsid w:val="008F5043"/>
    <w:rsid w:val="008F6EE0"/>
    <w:rsid w:val="008F7261"/>
    <w:rsid w:val="008F7516"/>
    <w:rsid w:val="00903685"/>
    <w:rsid w:val="00903945"/>
    <w:rsid w:val="00903D8D"/>
    <w:rsid w:val="009045FB"/>
    <w:rsid w:val="00905429"/>
    <w:rsid w:val="00905491"/>
    <w:rsid w:val="00905F79"/>
    <w:rsid w:val="00906A92"/>
    <w:rsid w:val="00906C0B"/>
    <w:rsid w:val="0090775B"/>
    <w:rsid w:val="00910E43"/>
    <w:rsid w:val="009116A8"/>
    <w:rsid w:val="00912175"/>
    <w:rsid w:val="0091369B"/>
    <w:rsid w:val="00913C8E"/>
    <w:rsid w:val="00913F85"/>
    <w:rsid w:val="0091450D"/>
    <w:rsid w:val="009146F8"/>
    <w:rsid w:val="00915D6D"/>
    <w:rsid w:val="00916CA9"/>
    <w:rsid w:val="00916EAC"/>
    <w:rsid w:val="009172A9"/>
    <w:rsid w:val="009174B5"/>
    <w:rsid w:val="009179D1"/>
    <w:rsid w:val="00920135"/>
    <w:rsid w:val="00920CD6"/>
    <w:rsid w:val="00920FF8"/>
    <w:rsid w:val="009214B3"/>
    <w:rsid w:val="00921944"/>
    <w:rsid w:val="00922D61"/>
    <w:rsid w:val="009232F2"/>
    <w:rsid w:val="00923411"/>
    <w:rsid w:val="009237B0"/>
    <w:rsid w:val="009238C3"/>
    <w:rsid w:val="009239EE"/>
    <w:rsid w:val="00924853"/>
    <w:rsid w:val="00924A1E"/>
    <w:rsid w:val="00924C35"/>
    <w:rsid w:val="00924F7B"/>
    <w:rsid w:val="00927873"/>
    <w:rsid w:val="009302B0"/>
    <w:rsid w:val="00930523"/>
    <w:rsid w:val="00932CD8"/>
    <w:rsid w:val="00933E3F"/>
    <w:rsid w:val="00934AF9"/>
    <w:rsid w:val="00934BE5"/>
    <w:rsid w:val="00934D48"/>
    <w:rsid w:val="00934E1B"/>
    <w:rsid w:val="00936015"/>
    <w:rsid w:val="00940B6A"/>
    <w:rsid w:val="0094132B"/>
    <w:rsid w:val="0094144E"/>
    <w:rsid w:val="009415FC"/>
    <w:rsid w:val="00941614"/>
    <w:rsid w:val="009418B3"/>
    <w:rsid w:val="0094211B"/>
    <w:rsid w:val="0094335F"/>
    <w:rsid w:val="009437FF"/>
    <w:rsid w:val="00944768"/>
    <w:rsid w:val="009452FC"/>
    <w:rsid w:val="0094648F"/>
    <w:rsid w:val="00946789"/>
    <w:rsid w:val="00946FF2"/>
    <w:rsid w:val="00951959"/>
    <w:rsid w:val="00951B65"/>
    <w:rsid w:val="00951EEC"/>
    <w:rsid w:val="00953A34"/>
    <w:rsid w:val="00954D56"/>
    <w:rsid w:val="00955B2A"/>
    <w:rsid w:val="009566EC"/>
    <w:rsid w:val="00956B70"/>
    <w:rsid w:val="00961A17"/>
    <w:rsid w:val="00961AD2"/>
    <w:rsid w:val="00961E5F"/>
    <w:rsid w:val="00962D75"/>
    <w:rsid w:val="00962DE0"/>
    <w:rsid w:val="00963278"/>
    <w:rsid w:val="00965676"/>
    <w:rsid w:val="00966607"/>
    <w:rsid w:val="0096661B"/>
    <w:rsid w:val="009700C7"/>
    <w:rsid w:val="0097035E"/>
    <w:rsid w:val="00970780"/>
    <w:rsid w:val="0097103C"/>
    <w:rsid w:val="009717DD"/>
    <w:rsid w:val="00971813"/>
    <w:rsid w:val="009735FE"/>
    <w:rsid w:val="00975F64"/>
    <w:rsid w:val="00976511"/>
    <w:rsid w:val="00983AD4"/>
    <w:rsid w:val="009841E1"/>
    <w:rsid w:val="00984319"/>
    <w:rsid w:val="00984709"/>
    <w:rsid w:val="00984759"/>
    <w:rsid w:val="00984E9D"/>
    <w:rsid w:val="00984F26"/>
    <w:rsid w:val="00985452"/>
    <w:rsid w:val="00985AA4"/>
    <w:rsid w:val="00986EF0"/>
    <w:rsid w:val="00987AC0"/>
    <w:rsid w:val="00987B10"/>
    <w:rsid w:val="00987D94"/>
    <w:rsid w:val="00990367"/>
    <w:rsid w:val="0099070F"/>
    <w:rsid w:val="00990BF5"/>
    <w:rsid w:val="00991005"/>
    <w:rsid w:val="0099175C"/>
    <w:rsid w:val="00992CF7"/>
    <w:rsid w:val="00994126"/>
    <w:rsid w:val="0099490D"/>
    <w:rsid w:val="00994C59"/>
    <w:rsid w:val="0099511E"/>
    <w:rsid w:val="009954C1"/>
    <w:rsid w:val="009958B4"/>
    <w:rsid w:val="00995EA7"/>
    <w:rsid w:val="009960C0"/>
    <w:rsid w:val="00996195"/>
    <w:rsid w:val="009961EE"/>
    <w:rsid w:val="009A0418"/>
    <w:rsid w:val="009A0CC0"/>
    <w:rsid w:val="009A1F0C"/>
    <w:rsid w:val="009A21D1"/>
    <w:rsid w:val="009A318F"/>
    <w:rsid w:val="009A3BE2"/>
    <w:rsid w:val="009A3DE7"/>
    <w:rsid w:val="009A4BF6"/>
    <w:rsid w:val="009A4EFB"/>
    <w:rsid w:val="009A5C57"/>
    <w:rsid w:val="009A6850"/>
    <w:rsid w:val="009A6BFC"/>
    <w:rsid w:val="009A7776"/>
    <w:rsid w:val="009B0059"/>
    <w:rsid w:val="009B19FF"/>
    <w:rsid w:val="009B2ABD"/>
    <w:rsid w:val="009B310A"/>
    <w:rsid w:val="009B3DB0"/>
    <w:rsid w:val="009B4F3E"/>
    <w:rsid w:val="009B5018"/>
    <w:rsid w:val="009B5CE3"/>
    <w:rsid w:val="009B629C"/>
    <w:rsid w:val="009B668D"/>
    <w:rsid w:val="009B7100"/>
    <w:rsid w:val="009B7BDF"/>
    <w:rsid w:val="009B7DE6"/>
    <w:rsid w:val="009C002D"/>
    <w:rsid w:val="009C0499"/>
    <w:rsid w:val="009C060D"/>
    <w:rsid w:val="009C104F"/>
    <w:rsid w:val="009C1A3E"/>
    <w:rsid w:val="009C1D31"/>
    <w:rsid w:val="009C3E41"/>
    <w:rsid w:val="009C4382"/>
    <w:rsid w:val="009C5333"/>
    <w:rsid w:val="009C5977"/>
    <w:rsid w:val="009C5D25"/>
    <w:rsid w:val="009C718A"/>
    <w:rsid w:val="009C71A6"/>
    <w:rsid w:val="009D17E2"/>
    <w:rsid w:val="009D2113"/>
    <w:rsid w:val="009D2FC3"/>
    <w:rsid w:val="009D416E"/>
    <w:rsid w:val="009D46FB"/>
    <w:rsid w:val="009D5660"/>
    <w:rsid w:val="009D6121"/>
    <w:rsid w:val="009D6433"/>
    <w:rsid w:val="009D6954"/>
    <w:rsid w:val="009D79C6"/>
    <w:rsid w:val="009E1BD4"/>
    <w:rsid w:val="009E27C1"/>
    <w:rsid w:val="009E3182"/>
    <w:rsid w:val="009E484F"/>
    <w:rsid w:val="009E548F"/>
    <w:rsid w:val="009E5977"/>
    <w:rsid w:val="009E68BF"/>
    <w:rsid w:val="009E6DBE"/>
    <w:rsid w:val="009E6FDE"/>
    <w:rsid w:val="009E71EF"/>
    <w:rsid w:val="009F0981"/>
    <w:rsid w:val="009F0A67"/>
    <w:rsid w:val="009F16DE"/>
    <w:rsid w:val="009F4F96"/>
    <w:rsid w:val="009F501B"/>
    <w:rsid w:val="009F58D2"/>
    <w:rsid w:val="009F674A"/>
    <w:rsid w:val="009F6872"/>
    <w:rsid w:val="009F6A5E"/>
    <w:rsid w:val="009F72AA"/>
    <w:rsid w:val="009F7851"/>
    <w:rsid w:val="009F7CFC"/>
    <w:rsid w:val="00A0051D"/>
    <w:rsid w:val="00A00D14"/>
    <w:rsid w:val="00A00D17"/>
    <w:rsid w:val="00A010AD"/>
    <w:rsid w:val="00A0188D"/>
    <w:rsid w:val="00A01B7F"/>
    <w:rsid w:val="00A01E65"/>
    <w:rsid w:val="00A02CCD"/>
    <w:rsid w:val="00A0330E"/>
    <w:rsid w:val="00A03D91"/>
    <w:rsid w:val="00A0450D"/>
    <w:rsid w:val="00A04C4F"/>
    <w:rsid w:val="00A04CD0"/>
    <w:rsid w:val="00A05FE0"/>
    <w:rsid w:val="00A060D1"/>
    <w:rsid w:val="00A0648E"/>
    <w:rsid w:val="00A06BD5"/>
    <w:rsid w:val="00A06D24"/>
    <w:rsid w:val="00A078F7"/>
    <w:rsid w:val="00A07D8A"/>
    <w:rsid w:val="00A104D0"/>
    <w:rsid w:val="00A10C5D"/>
    <w:rsid w:val="00A121DA"/>
    <w:rsid w:val="00A123E5"/>
    <w:rsid w:val="00A15483"/>
    <w:rsid w:val="00A1634C"/>
    <w:rsid w:val="00A176DC"/>
    <w:rsid w:val="00A17898"/>
    <w:rsid w:val="00A20018"/>
    <w:rsid w:val="00A20F5C"/>
    <w:rsid w:val="00A2187D"/>
    <w:rsid w:val="00A22B68"/>
    <w:rsid w:val="00A22EAA"/>
    <w:rsid w:val="00A23339"/>
    <w:rsid w:val="00A23C05"/>
    <w:rsid w:val="00A2406F"/>
    <w:rsid w:val="00A24483"/>
    <w:rsid w:val="00A24520"/>
    <w:rsid w:val="00A245E6"/>
    <w:rsid w:val="00A25605"/>
    <w:rsid w:val="00A25B10"/>
    <w:rsid w:val="00A26AC1"/>
    <w:rsid w:val="00A2727E"/>
    <w:rsid w:val="00A27DE6"/>
    <w:rsid w:val="00A307B8"/>
    <w:rsid w:val="00A30E0F"/>
    <w:rsid w:val="00A321AC"/>
    <w:rsid w:val="00A32DF2"/>
    <w:rsid w:val="00A355ED"/>
    <w:rsid w:val="00A35881"/>
    <w:rsid w:val="00A35AB3"/>
    <w:rsid w:val="00A35CDD"/>
    <w:rsid w:val="00A37216"/>
    <w:rsid w:val="00A37816"/>
    <w:rsid w:val="00A37DC5"/>
    <w:rsid w:val="00A40361"/>
    <w:rsid w:val="00A40EAF"/>
    <w:rsid w:val="00A40F9B"/>
    <w:rsid w:val="00A4176F"/>
    <w:rsid w:val="00A41799"/>
    <w:rsid w:val="00A41870"/>
    <w:rsid w:val="00A41DB5"/>
    <w:rsid w:val="00A41E95"/>
    <w:rsid w:val="00A42DFC"/>
    <w:rsid w:val="00A45398"/>
    <w:rsid w:val="00A456D2"/>
    <w:rsid w:val="00A458EF"/>
    <w:rsid w:val="00A46BB8"/>
    <w:rsid w:val="00A46E21"/>
    <w:rsid w:val="00A46FBE"/>
    <w:rsid w:val="00A47088"/>
    <w:rsid w:val="00A476B2"/>
    <w:rsid w:val="00A500B6"/>
    <w:rsid w:val="00A502FF"/>
    <w:rsid w:val="00A504D5"/>
    <w:rsid w:val="00A50DF6"/>
    <w:rsid w:val="00A50E88"/>
    <w:rsid w:val="00A50FAC"/>
    <w:rsid w:val="00A51305"/>
    <w:rsid w:val="00A52993"/>
    <w:rsid w:val="00A52CC7"/>
    <w:rsid w:val="00A5334C"/>
    <w:rsid w:val="00A546F4"/>
    <w:rsid w:val="00A5479D"/>
    <w:rsid w:val="00A54A00"/>
    <w:rsid w:val="00A557B2"/>
    <w:rsid w:val="00A561B0"/>
    <w:rsid w:val="00A56DDD"/>
    <w:rsid w:val="00A57324"/>
    <w:rsid w:val="00A577FD"/>
    <w:rsid w:val="00A57972"/>
    <w:rsid w:val="00A6007F"/>
    <w:rsid w:val="00A603B6"/>
    <w:rsid w:val="00A60AA9"/>
    <w:rsid w:val="00A64FDE"/>
    <w:rsid w:val="00A65640"/>
    <w:rsid w:val="00A670C4"/>
    <w:rsid w:val="00A67389"/>
    <w:rsid w:val="00A67A87"/>
    <w:rsid w:val="00A705C9"/>
    <w:rsid w:val="00A705D5"/>
    <w:rsid w:val="00A7066B"/>
    <w:rsid w:val="00A709DD"/>
    <w:rsid w:val="00A712A0"/>
    <w:rsid w:val="00A72127"/>
    <w:rsid w:val="00A725AB"/>
    <w:rsid w:val="00A733A5"/>
    <w:rsid w:val="00A73459"/>
    <w:rsid w:val="00A7385F"/>
    <w:rsid w:val="00A759A2"/>
    <w:rsid w:val="00A76056"/>
    <w:rsid w:val="00A76131"/>
    <w:rsid w:val="00A76560"/>
    <w:rsid w:val="00A77608"/>
    <w:rsid w:val="00A80434"/>
    <w:rsid w:val="00A80CC5"/>
    <w:rsid w:val="00A80EED"/>
    <w:rsid w:val="00A820F6"/>
    <w:rsid w:val="00A835AC"/>
    <w:rsid w:val="00A83630"/>
    <w:rsid w:val="00A83D6B"/>
    <w:rsid w:val="00A857EE"/>
    <w:rsid w:val="00A85D23"/>
    <w:rsid w:val="00A862EE"/>
    <w:rsid w:val="00A8793B"/>
    <w:rsid w:val="00A90238"/>
    <w:rsid w:val="00A90978"/>
    <w:rsid w:val="00A91198"/>
    <w:rsid w:val="00A91808"/>
    <w:rsid w:val="00A91CB4"/>
    <w:rsid w:val="00A91D8C"/>
    <w:rsid w:val="00A92002"/>
    <w:rsid w:val="00A92036"/>
    <w:rsid w:val="00A92110"/>
    <w:rsid w:val="00A932AC"/>
    <w:rsid w:val="00A934F8"/>
    <w:rsid w:val="00A940DB"/>
    <w:rsid w:val="00A9482A"/>
    <w:rsid w:val="00A94A05"/>
    <w:rsid w:val="00A94CC1"/>
    <w:rsid w:val="00A9502E"/>
    <w:rsid w:val="00A96597"/>
    <w:rsid w:val="00A96A50"/>
    <w:rsid w:val="00A973D9"/>
    <w:rsid w:val="00AA0798"/>
    <w:rsid w:val="00AA108E"/>
    <w:rsid w:val="00AA157B"/>
    <w:rsid w:val="00AA3BD1"/>
    <w:rsid w:val="00AA44FF"/>
    <w:rsid w:val="00AA4D36"/>
    <w:rsid w:val="00AA523D"/>
    <w:rsid w:val="00AA56B1"/>
    <w:rsid w:val="00AA58FC"/>
    <w:rsid w:val="00AA59DA"/>
    <w:rsid w:val="00AA5BCE"/>
    <w:rsid w:val="00AA680A"/>
    <w:rsid w:val="00AA773C"/>
    <w:rsid w:val="00AA7BC3"/>
    <w:rsid w:val="00AB230C"/>
    <w:rsid w:val="00AB29BC"/>
    <w:rsid w:val="00AB34BB"/>
    <w:rsid w:val="00AB4946"/>
    <w:rsid w:val="00AB5DB6"/>
    <w:rsid w:val="00AB700E"/>
    <w:rsid w:val="00AB7A46"/>
    <w:rsid w:val="00AC0638"/>
    <w:rsid w:val="00AC111D"/>
    <w:rsid w:val="00AC15BF"/>
    <w:rsid w:val="00AC1EAE"/>
    <w:rsid w:val="00AC2108"/>
    <w:rsid w:val="00AC3D56"/>
    <w:rsid w:val="00AC3FD8"/>
    <w:rsid w:val="00AC4989"/>
    <w:rsid w:val="00AC541E"/>
    <w:rsid w:val="00AC54FD"/>
    <w:rsid w:val="00AC574D"/>
    <w:rsid w:val="00AC5D08"/>
    <w:rsid w:val="00AC6C08"/>
    <w:rsid w:val="00AC72A2"/>
    <w:rsid w:val="00AD013E"/>
    <w:rsid w:val="00AD03BD"/>
    <w:rsid w:val="00AD09AB"/>
    <w:rsid w:val="00AD14F4"/>
    <w:rsid w:val="00AD18A3"/>
    <w:rsid w:val="00AD2C3B"/>
    <w:rsid w:val="00AD3203"/>
    <w:rsid w:val="00AD3465"/>
    <w:rsid w:val="00AD3944"/>
    <w:rsid w:val="00AD41AE"/>
    <w:rsid w:val="00AD4537"/>
    <w:rsid w:val="00AD4963"/>
    <w:rsid w:val="00AD4C3E"/>
    <w:rsid w:val="00AD4D63"/>
    <w:rsid w:val="00AD6104"/>
    <w:rsid w:val="00AD666A"/>
    <w:rsid w:val="00AD685C"/>
    <w:rsid w:val="00AD6D71"/>
    <w:rsid w:val="00AD6FB5"/>
    <w:rsid w:val="00AE0055"/>
    <w:rsid w:val="00AE0844"/>
    <w:rsid w:val="00AE17F0"/>
    <w:rsid w:val="00AE1887"/>
    <w:rsid w:val="00AE32C2"/>
    <w:rsid w:val="00AE3B89"/>
    <w:rsid w:val="00AE603B"/>
    <w:rsid w:val="00AE6897"/>
    <w:rsid w:val="00AF03F1"/>
    <w:rsid w:val="00AF0679"/>
    <w:rsid w:val="00AF1337"/>
    <w:rsid w:val="00AF175C"/>
    <w:rsid w:val="00AF1894"/>
    <w:rsid w:val="00AF3D65"/>
    <w:rsid w:val="00AF4802"/>
    <w:rsid w:val="00AF49E5"/>
    <w:rsid w:val="00AF4A05"/>
    <w:rsid w:val="00AF6D9B"/>
    <w:rsid w:val="00AF6ECC"/>
    <w:rsid w:val="00B0172E"/>
    <w:rsid w:val="00B0297A"/>
    <w:rsid w:val="00B02EE0"/>
    <w:rsid w:val="00B03839"/>
    <w:rsid w:val="00B03A8A"/>
    <w:rsid w:val="00B04D8A"/>
    <w:rsid w:val="00B057AC"/>
    <w:rsid w:val="00B05FE0"/>
    <w:rsid w:val="00B060F5"/>
    <w:rsid w:val="00B06C85"/>
    <w:rsid w:val="00B0707B"/>
    <w:rsid w:val="00B0787F"/>
    <w:rsid w:val="00B11731"/>
    <w:rsid w:val="00B11DE9"/>
    <w:rsid w:val="00B124F7"/>
    <w:rsid w:val="00B13222"/>
    <w:rsid w:val="00B1330D"/>
    <w:rsid w:val="00B13833"/>
    <w:rsid w:val="00B13AD8"/>
    <w:rsid w:val="00B1439B"/>
    <w:rsid w:val="00B1506D"/>
    <w:rsid w:val="00B173BB"/>
    <w:rsid w:val="00B174B3"/>
    <w:rsid w:val="00B17E4D"/>
    <w:rsid w:val="00B20259"/>
    <w:rsid w:val="00B203CC"/>
    <w:rsid w:val="00B20B45"/>
    <w:rsid w:val="00B219D3"/>
    <w:rsid w:val="00B2221F"/>
    <w:rsid w:val="00B224A0"/>
    <w:rsid w:val="00B22526"/>
    <w:rsid w:val="00B232CC"/>
    <w:rsid w:val="00B25214"/>
    <w:rsid w:val="00B2540E"/>
    <w:rsid w:val="00B25661"/>
    <w:rsid w:val="00B275A6"/>
    <w:rsid w:val="00B30077"/>
    <w:rsid w:val="00B321FE"/>
    <w:rsid w:val="00B34D72"/>
    <w:rsid w:val="00B3515C"/>
    <w:rsid w:val="00B351EA"/>
    <w:rsid w:val="00B354A6"/>
    <w:rsid w:val="00B35BC3"/>
    <w:rsid w:val="00B3675A"/>
    <w:rsid w:val="00B36D2E"/>
    <w:rsid w:val="00B37617"/>
    <w:rsid w:val="00B37C87"/>
    <w:rsid w:val="00B37E06"/>
    <w:rsid w:val="00B41AE0"/>
    <w:rsid w:val="00B423A4"/>
    <w:rsid w:val="00B42957"/>
    <w:rsid w:val="00B42A7C"/>
    <w:rsid w:val="00B4399A"/>
    <w:rsid w:val="00B4565D"/>
    <w:rsid w:val="00B45ADF"/>
    <w:rsid w:val="00B45E88"/>
    <w:rsid w:val="00B46485"/>
    <w:rsid w:val="00B4675C"/>
    <w:rsid w:val="00B467F7"/>
    <w:rsid w:val="00B50103"/>
    <w:rsid w:val="00B50C81"/>
    <w:rsid w:val="00B5103B"/>
    <w:rsid w:val="00B51074"/>
    <w:rsid w:val="00B510B4"/>
    <w:rsid w:val="00B519F3"/>
    <w:rsid w:val="00B51E55"/>
    <w:rsid w:val="00B52846"/>
    <w:rsid w:val="00B53309"/>
    <w:rsid w:val="00B54D1B"/>
    <w:rsid w:val="00B55DCC"/>
    <w:rsid w:val="00B5620D"/>
    <w:rsid w:val="00B56C32"/>
    <w:rsid w:val="00B60C84"/>
    <w:rsid w:val="00B6115D"/>
    <w:rsid w:val="00B62CAE"/>
    <w:rsid w:val="00B6363C"/>
    <w:rsid w:val="00B64620"/>
    <w:rsid w:val="00B64CAA"/>
    <w:rsid w:val="00B650BE"/>
    <w:rsid w:val="00B67945"/>
    <w:rsid w:val="00B67BB9"/>
    <w:rsid w:val="00B7108F"/>
    <w:rsid w:val="00B71161"/>
    <w:rsid w:val="00B71C8E"/>
    <w:rsid w:val="00B726CE"/>
    <w:rsid w:val="00B7552D"/>
    <w:rsid w:val="00B759B6"/>
    <w:rsid w:val="00B76012"/>
    <w:rsid w:val="00B76A8C"/>
    <w:rsid w:val="00B77A51"/>
    <w:rsid w:val="00B801FB"/>
    <w:rsid w:val="00B812A1"/>
    <w:rsid w:val="00B81CBB"/>
    <w:rsid w:val="00B83673"/>
    <w:rsid w:val="00B83F51"/>
    <w:rsid w:val="00B846DD"/>
    <w:rsid w:val="00B84959"/>
    <w:rsid w:val="00B854BB"/>
    <w:rsid w:val="00B85A57"/>
    <w:rsid w:val="00B85FBD"/>
    <w:rsid w:val="00B865DE"/>
    <w:rsid w:val="00B86703"/>
    <w:rsid w:val="00B867B5"/>
    <w:rsid w:val="00B870AA"/>
    <w:rsid w:val="00B87E9D"/>
    <w:rsid w:val="00B90B54"/>
    <w:rsid w:val="00B90BF2"/>
    <w:rsid w:val="00B928AA"/>
    <w:rsid w:val="00B93179"/>
    <w:rsid w:val="00B9364B"/>
    <w:rsid w:val="00B93806"/>
    <w:rsid w:val="00B94BB1"/>
    <w:rsid w:val="00B954B1"/>
    <w:rsid w:val="00B959CC"/>
    <w:rsid w:val="00B95DD2"/>
    <w:rsid w:val="00B96470"/>
    <w:rsid w:val="00B96B25"/>
    <w:rsid w:val="00B96CA2"/>
    <w:rsid w:val="00B97231"/>
    <w:rsid w:val="00BA01C5"/>
    <w:rsid w:val="00BA05FF"/>
    <w:rsid w:val="00BA12F4"/>
    <w:rsid w:val="00BA32E2"/>
    <w:rsid w:val="00BA5986"/>
    <w:rsid w:val="00BA5B7B"/>
    <w:rsid w:val="00BA5F57"/>
    <w:rsid w:val="00BB09DA"/>
    <w:rsid w:val="00BB288F"/>
    <w:rsid w:val="00BB2A90"/>
    <w:rsid w:val="00BB2C7A"/>
    <w:rsid w:val="00BB3AAF"/>
    <w:rsid w:val="00BB4CAE"/>
    <w:rsid w:val="00BB5543"/>
    <w:rsid w:val="00BB5B34"/>
    <w:rsid w:val="00BB6A7E"/>
    <w:rsid w:val="00BC06F6"/>
    <w:rsid w:val="00BC09C4"/>
    <w:rsid w:val="00BC0DF3"/>
    <w:rsid w:val="00BC0DF7"/>
    <w:rsid w:val="00BC0F84"/>
    <w:rsid w:val="00BC10D8"/>
    <w:rsid w:val="00BC1C60"/>
    <w:rsid w:val="00BC1C99"/>
    <w:rsid w:val="00BC2288"/>
    <w:rsid w:val="00BC22D9"/>
    <w:rsid w:val="00BC3998"/>
    <w:rsid w:val="00BC3D94"/>
    <w:rsid w:val="00BC4048"/>
    <w:rsid w:val="00BC4680"/>
    <w:rsid w:val="00BC4EE5"/>
    <w:rsid w:val="00BC4F67"/>
    <w:rsid w:val="00BC50CD"/>
    <w:rsid w:val="00BC52B1"/>
    <w:rsid w:val="00BC5FB6"/>
    <w:rsid w:val="00BC66C7"/>
    <w:rsid w:val="00BC744E"/>
    <w:rsid w:val="00BD0FB4"/>
    <w:rsid w:val="00BD1500"/>
    <w:rsid w:val="00BD1A00"/>
    <w:rsid w:val="00BD1D60"/>
    <w:rsid w:val="00BD2B5C"/>
    <w:rsid w:val="00BD3773"/>
    <w:rsid w:val="00BD379E"/>
    <w:rsid w:val="00BD37F3"/>
    <w:rsid w:val="00BD42FB"/>
    <w:rsid w:val="00BD4458"/>
    <w:rsid w:val="00BD594C"/>
    <w:rsid w:val="00BD5964"/>
    <w:rsid w:val="00BD740F"/>
    <w:rsid w:val="00BD7701"/>
    <w:rsid w:val="00BE036D"/>
    <w:rsid w:val="00BE14C5"/>
    <w:rsid w:val="00BE2181"/>
    <w:rsid w:val="00BE29CF"/>
    <w:rsid w:val="00BE3A4F"/>
    <w:rsid w:val="00BE4E67"/>
    <w:rsid w:val="00BE72BD"/>
    <w:rsid w:val="00BE7622"/>
    <w:rsid w:val="00BF05CC"/>
    <w:rsid w:val="00BF0F47"/>
    <w:rsid w:val="00BF1318"/>
    <w:rsid w:val="00BF1A18"/>
    <w:rsid w:val="00BF1AC0"/>
    <w:rsid w:val="00BF1AC9"/>
    <w:rsid w:val="00BF20D2"/>
    <w:rsid w:val="00BF3E1A"/>
    <w:rsid w:val="00BF54F1"/>
    <w:rsid w:val="00BF63B0"/>
    <w:rsid w:val="00BF666A"/>
    <w:rsid w:val="00BF6FEC"/>
    <w:rsid w:val="00BF78F4"/>
    <w:rsid w:val="00C000F3"/>
    <w:rsid w:val="00C00CB7"/>
    <w:rsid w:val="00C0198E"/>
    <w:rsid w:val="00C02BCF"/>
    <w:rsid w:val="00C0300E"/>
    <w:rsid w:val="00C03781"/>
    <w:rsid w:val="00C04816"/>
    <w:rsid w:val="00C04B59"/>
    <w:rsid w:val="00C04F12"/>
    <w:rsid w:val="00C050A3"/>
    <w:rsid w:val="00C050C1"/>
    <w:rsid w:val="00C065AC"/>
    <w:rsid w:val="00C076D7"/>
    <w:rsid w:val="00C1083E"/>
    <w:rsid w:val="00C10D4F"/>
    <w:rsid w:val="00C11FDD"/>
    <w:rsid w:val="00C12EFD"/>
    <w:rsid w:val="00C13BE3"/>
    <w:rsid w:val="00C14003"/>
    <w:rsid w:val="00C14642"/>
    <w:rsid w:val="00C14D07"/>
    <w:rsid w:val="00C153D6"/>
    <w:rsid w:val="00C15ED3"/>
    <w:rsid w:val="00C15F22"/>
    <w:rsid w:val="00C1664F"/>
    <w:rsid w:val="00C16663"/>
    <w:rsid w:val="00C16CFA"/>
    <w:rsid w:val="00C17161"/>
    <w:rsid w:val="00C20416"/>
    <w:rsid w:val="00C2098A"/>
    <w:rsid w:val="00C21957"/>
    <w:rsid w:val="00C22052"/>
    <w:rsid w:val="00C221AE"/>
    <w:rsid w:val="00C22242"/>
    <w:rsid w:val="00C23193"/>
    <w:rsid w:val="00C250BF"/>
    <w:rsid w:val="00C251F4"/>
    <w:rsid w:val="00C25809"/>
    <w:rsid w:val="00C2672B"/>
    <w:rsid w:val="00C26926"/>
    <w:rsid w:val="00C26F3D"/>
    <w:rsid w:val="00C27804"/>
    <w:rsid w:val="00C3001F"/>
    <w:rsid w:val="00C31689"/>
    <w:rsid w:val="00C32409"/>
    <w:rsid w:val="00C32A67"/>
    <w:rsid w:val="00C3320B"/>
    <w:rsid w:val="00C34EED"/>
    <w:rsid w:val="00C34FB3"/>
    <w:rsid w:val="00C35E97"/>
    <w:rsid w:val="00C36A6F"/>
    <w:rsid w:val="00C36F3D"/>
    <w:rsid w:val="00C37188"/>
    <w:rsid w:val="00C406F2"/>
    <w:rsid w:val="00C40DBD"/>
    <w:rsid w:val="00C4135E"/>
    <w:rsid w:val="00C413A9"/>
    <w:rsid w:val="00C413B5"/>
    <w:rsid w:val="00C4145C"/>
    <w:rsid w:val="00C4189C"/>
    <w:rsid w:val="00C41E15"/>
    <w:rsid w:val="00C44059"/>
    <w:rsid w:val="00C454D3"/>
    <w:rsid w:val="00C45A5B"/>
    <w:rsid w:val="00C46DD8"/>
    <w:rsid w:val="00C47341"/>
    <w:rsid w:val="00C47931"/>
    <w:rsid w:val="00C50382"/>
    <w:rsid w:val="00C507FB"/>
    <w:rsid w:val="00C508EB"/>
    <w:rsid w:val="00C50F90"/>
    <w:rsid w:val="00C51313"/>
    <w:rsid w:val="00C527EA"/>
    <w:rsid w:val="00C5293A"/>
    <w:rsid w:val="00C529C5"/>
    <w:rsid w:val="00C52A35"/>
    <w:rsid w:val="00C530A5"/>
    <w:rsid w:val="00C538C2"/>
    <w:rsid w:val="00C53AAA"/>
    <w:rsid w:val="00C55F0F"/>
    <w:rsid w:val="00C5631C"/>
    <w:rsid w:val="00C57FD8"/>
    <w:rsid w:val="00C601F6"/>
    <w:rsid w:val="00C60CA3"/>
    <w:rsid w:val="00C61D8B"/>
    <w:rsid w:val="00C61DB7"/>
    <w:rsid w:val="00C62571"/>
    <w:rsid w:val="00C62E93"/>
    <w:rsid w:val="00C630D3"/>
    <w:rsid w:val="00C640D2"/>
    <w:rsid w:val="00C6511B"/>
    <w:rsid w:val="00C65538"/>
    <w:rsid w:val="00C6556A"/>
    <w:rsid w:val="00C6598D"/>
    <w:rsid w:val="00C65CF4"/>
    <w:rsid w:val="00C67777"/>
    <w:rsid w:val="00C67926"/>
    <w:rsid w:val="00C703F0"/>
    <w:rsid w:val="00C70D4A"/>
    <w:rsid w:val="00C70F05"/>
    <w:rsid w:val="00C7217D"/>
    <w:rsid w:val="00C7316C"/>
    <w:rsid w:val="00C737BC"/>
    <w:rsid w:val="00C741F8"/>
    <w:rsid w:val="00C74535"/>
    <w:rsid w:val="00C749A5"/>
    <w:rsid w:val="00C76223"/>
    <w:rsid w:val="00C769A0"/>
    <w:rsid w:val="00C76C30"/>
    <w:rsid w:val="00C77EBC"/>
    <w:rsid w:val="00C77FAE"/>
    <w:rsid w:val="00C801CD"/>
    <w:rsid w:val="00C806FF"/>
    <w:rsid w:val="00C80DCA"/>
    <w:rsid w:val="00C8145C"/>
    <w:rsid w:val="00C834F7"/>
    <w:rsid w:val="00C84AF7"/>
    <w:rsid w:val="00C85724"/>
    <w:rsid w:val="00C859D8"/>
    <w:rsid w:val="00C862F0"/>
    <w:rsid w:val="00C869CD"/>
    <w:rsid w:val="00C87904"/>
    <w:rsid w:val="00C90ABC"/>
    <w:rsid w:val="00C917E5"/>
    <w:rsid w:val="00C91D6D"/>
    <w:rsid w:val="00C91F86"/>
    <w:rsid w:val="00C92538"/>
    <w:rsid w:val="00C92962"/>
    <w:rsid w:val="00C931C3"/>
    <w:rsid w:val="00C93A77"/>
    <w:rsid w:val="00C94251"/>
    <w:rsid w:val="00C94DC8"/>
    <w:rsid w:val="00C963C7"/>
    <w:rsid w:val="00C968B5"/>
    <w:rsid w:val="00C9740C"/>
    <w:rsid w:val="00CA08C2"/>
    <w:rsid w:val="00CA11D4"/>
    <w:rsid w:val="00CA1796"/>
    <w:rsid w:val="00CA22BC"/>
    <w:rsid w:val="00CA24DD"/>
    <w:rsid w:val="00CA2B11"/>
    <w:rsid w:val="00CA3E01"/>
    <w:rsid w:val="00CA3E2C"/>
    <w:rsid w:val="00CA55DD"/>
    <w:rsid w:val="00CA6F94"/>
    <w:rsid w:val="00CA7C5A"/>
    <w:rsid w:val="00CA7F91"/>
    <w:rsid w:val="00CB036E"/>
    <w:rsid w:val="00CB05B8"/>
    <w:rsid w:val="00CB1026"/>
    <w:rsid w:val="00CB12DC"/>
    <w:rsid w:val="00CB30BB"/>
    <w:rsid w:val="00CB46C6"/>
    <w:rsid w:val="00CB4DB9"/>
    <w:rsid w:val="00CB5A68"/>
    <w:rsid w:val="00CB686F"/>
    <w:rsid w:val="00CC105E"/>
    <w:rsid w:val="00CC1A66"/>
    <w:rsid w:val="00CC1F30"/>
    <w:rsid w:val="00CC1FF3"/>
    <w:rsid w:val="00CC2176"/>
    <w:rsid w:val="00CC29AB"/>
    <w:rsid w:val="00CC3A25"/>
    <w:rsid w:val="00CC3CBD"/>
    <w:rsid w:val="00CC3F5D"/>
    <w:rsid w:val="00CC42C2"/>
    <w:rsid w:val="00CC42CF"/>
    <w:rsid w:val="00CC49F9"/>
    <w:rsid w:val="00CC4D5D"/>
    <w:rsid w:val="00CC4EC9"/>
    <w:rsid w:val="00CC5789"/>
    <w:rsid w:val="00CC6D22"/>
    <w:rsid w:val="00CD0A60"/>
    <w:rsid w:val="00CD1359"/>
    <w:rsid w:val="00CD15B5"/>
    <w:rsid w:val="00CD1C02"/>
    <w:rsid w:val="00CD2918"/>
    <w:rsid w:val="00CD2C9E"/>
    <w:rsid w:val="00CD2D92"/>
    <w:rsid w:val="00CD4040"/>
    <w:rsid w:val="00CD4F0D"/>
    <w:rsid w:val="00CD4FE0"/>
    <w:rsid w:val="00CD612C"/>
    <w:rsid w:val="00CD67C7"/>
    <w:rsid w:val="00CD7026"/>
    <w:rsid w:val="00CD7C29"/>
    <w:rsid w:val="00CE0F14"/>
    <w:rsid w:val="00CE0F88"/>
    <w:rsid w:val="00CE1CCD"/>
    <w:rsid w:val="00CE1DCF"/>
    <w:rsid w:val="00CE2965"/>
    <w:rsid w:val="00CE29EF"/>
    <w:rsid w:val="00CE3022"/>
    <w:rsid w:val="00CE32E6"/>
    <w:rsid w:val="00CE390C"/>
    <w:rsid w:val="00CE40F6"/>
    <w:rsid w:val="00CE4693"/>
    <w:rsid w:val="00CE4BCB"/>
    <w:rsid w:val="00CE535E"/>
    <w:rsid w:val="00CE5FCB"/>
    <w:rsid w:val="00CE6765"/>
    <w:rsid w:val="00CE7095"/>
    <w:rsid w:val="00CF10C3"/>
    <w:rsid w:val="00CF2E98"/>
    <w:rsid w:val="00CF3675"/>
    <w:rsid w:val="00CF378C"/>
    <w:rsid w:val="00CF3DBB"/>
    <w:rsid w:val="00CF3E0D"/>
    <w:rsid w:val="00CF421E"/>
    <w:rsid w:val="00CF4332"/>
    <w:rsid w:val="00CF46EE"/>
    <w:rsid w:val="00CF5214"/>
    <w:rsid w:val="00CF555F"/>
    <w:rsid w:val="00D004A0"/>
    <w:rsid w:val="00D00783"/>
    <w:rsid w:val="00D01F10"/>
    <w:rsid w:val="00D02587"/>
    <w:rsid w:val="00D02C83"/>
    <w:rsid w:val="00D03DF3"/>
    <w:rsid w:val="00D03F42"/>
    <w:rsid w:val="00D055E9"/>
    <w:rsid w:val="00D05772"/>
    <w:rsid w:val="00D05947"/>
    <w:rsid w:val="00D06109"/>
    <w:rsid w:val="00D06111"/>
    <w:rsid w:val="00D06DB6"/>
    <w:rsid w:val="00D072DC"/>
    <w:rsid w:val="00D07714"/>
    <w:rsid w:val="00D10625"/>
    <w:rsid w:val="00D1098A"/>
    <w:rsid w:val="00D120A3"/>
    <w:rsid w:val="00D12312"/>
    <w:rsid w:val="00D12A2D"/>
    <w:rsid w:val="00D13EAF"/>
    <w:rsid w:val="00D145D7"/>
    <w:rsid w:val="00D1461E"/>
    <w:rsid w:val="00D14CCC"/>
    <w:rsid w:val="00D150A0"/>
    <w:rsid w:val="00D1550A"/>
    <w:rsid w:val="00D1752B"/>
    <w:rsid w:val="00D20532"/>
    <w:rsid w:val="00D205CE"/>
    <w:rsid w:val="00D20AA7"/>
    <w:rsid w:val="00D2195A"/>
    <w:rsid w:val="00D21C99"/>
    <w:rsid w:val="00D21D0D"/>
    <w:rsid w:val="00D2409C"/>
    <w:rsid w:val="00D24846"/>
    <w:rsid w:val="00D24ADC"/>
    <w:rsid w:val="00D2571B"/>
    <w:rsid w:val="00D25FEA"/>
    <w:rsid w:val="00D26A36"/>
    <w:rsid w:val="00D26CED"/>
    <w:rsid w:val="00D27972"/>
    <w:rsid w:val="00D3009B"/>
    <w:rsid w:val="00D327B8"/>
    <w:rsid w:val="00D3360F"/>
    <w:rsid w:val="00D33E28"/>
    <w:rsid w:val="00D3471D"/>
    <w:rsid w:val="00D34D7D"/>
    <w:rsid w:val="00D356B2"/>
    <w:rsid w:val="00D35C5C"/>
    <w:rsid w:val="00D35D64"/>
    <w:rsid w:val="00D3690F"/>
    <w:rsid w:val="00D37BB1"/>
    <w:rsid w:val="00D40EDB"/>
    <w:rsid w:val="00D42488"/>
    <w:rsid w:val="00D42529"/>
    <w:rsid w:val="00D435A7"/>
    <w:rsid w:val="00D441CA"/>
    <w:rsid w:val="00D4462A"/>
    <w:rsid w:val="00D44A59"/>
    <w:rsid w:val="00D44D59"/>
    <w:rsid w:val="00D45B94"/>
    <w:rsid w:val="00D4633D"/>
    <w:rsid w:val="00D469D4"/>
    <w:rsid w:val="00D46C7E"/>
    <w:rsid w:val="00D46D40"/>
    <w:rsid w:val="00D47678"/>
    <w:rsid w:val="00D5118C"/>
    <w:rsid w:val="00D519AE"/>
    <w:rsid w:val="00D52374"/>
    <w:rsid w:val="00D52EC3"/>
    <w:rsid w:val="00D536E3"/>
    <w:rsid w:val="00D539CB"/>
    <w:rsid w:val="00D55C53"/>
    <w:rsid w:val="00D55F54"/>
    <w:rsid w:val="00D5613C"/>
    <w:rsid w:val="00D56593"/>
    <w:rsid w:val="00D56664"/>
    <w:rsid w:val="00D567FC"/>
    <w:rsid w:val="00D56AFA"/>
    <w:rsid w:val="00D572D4"/>
    <w:rsid w:val="00D60E52"/>
    <w:rsid w:val="00D62162"/>
    <w:rsid w:val="00D62383"/>
    <w:rsid w:val="00D63041"/>
    <w:rsid w:val="00D63270"/>
    <w:rsid w:val="00D645BD"/>
    <w:rsid w:val="00D6494D"/>
    <w:rsid w:val="00D65378"/>
    <w:rsid w:val="00D65C14"/>
    <w:rsid w:val="00D65CFF"/>
    <w:rsid w:val="00D660A8"/>
    <w:rsid w:val="00D661D0"/>
    <w:rsid w:val="00D6644A"/>
    <w:rsid w:val="00D6675C"/>
    <w:rsid w:val="00D66BB1"/>
    <w:rsid w:val="00D67D34"/>
    <w:rsid w:val="00D70647"/>
    <w:rsid w:val="00D707B1"/>
    <w:rsid w:val="00D70E15"/>
    <w:rsid w:val="00D7177C"/>
    <w:rsid w:val="00D71BD3"/>
    <w:rsid w:val="00D7358B"/>
    <w:rsid w:val="00D7424D"/>
    <w:rsid w:val="00D764C5"/>
    <w:rsid w:val="00D76BE6"/>
    <w:rsid w:val="00D76FD0"/>
    <w:rsid w:val="00D772B1"/>
    <w:rsid w:val="00D80BC7"/>
    <w:rsid w:val="00D80CF8"/>
    <w:rsid w:val="00D8372D"/>
    <w:rsid w:val="00D83C32"/>
    <w:rsid w:val="00D84671"/>
    <w:rsid w:val="00D84D50"/>
    <w:rsid w:val="00D8571A"/>
    <w:rsid w:val="00D87BD9"/>
    <w:rsid w:val="00D90521"/>
    <w:rsid w:val="00D90AB2"/>
    <w:rsid w:val="00D91EB7"/>
    <w:rsid w:val="00D92D21"/>
    <w:rsid w:val="00D93078"/>
    <w:rsid w:val="00D93C36"/>
    <w:rsid w:val="00D93CCC"/>
    <w:rsid w:val="00D959DD"/>
    <w:rsid w:val="00DA0934"/>
    <w:rsid w:val="00DA0B26"/>
    <w:rsid w:val="00DA0D00"/>
    <w:rsid w:val="00DA238E"/>
    <w:rsid w:val="00DA2A0D"/>
    <w:rsid w:val="00DA6699"/>
    <w:rsid w:val="00DA716E"/>
    <w:rsid w:val="00DA7B0B"/>
    <w:rsid w:val="00DA7C07"/>
    <w:rsid w:val="00DB0FFB"/>
    <w:rsid w:val="00DB12ED"/>
    <w:rsid w:val="00DB19DD"/>
    <w:rsid w:val="00DB2D40"/>
    <w:rsid w:val="00DB3A49"/>
    <w:rsid w:val="00DB469A"/>
    <w:rsid w:val="00DB6447"/>
    <w:rsid w:val="00DB6AF1"/>
    <w:rsid w:val="00DB737A"/>
    <w:rsid w:val="00DB761E"/>
    <w:rsid w:val="00DB7E09"/>
    <w:rsid w:val="00DC0354"/>
    <w:rsid w:val="00DC1070"/>
    <w:rsid w:val="00DC12A6"/>
    <w:rsid w:val="00DC3A13"/>
    <w:rsid w:val="00DC4A28"/>
    <w:rsid w:val="00DC5CC2"/>
    <w:rsid w:val="00DC5CF1"/>
    <w:rsid w:val="00DC603A"/>
    <w:rsid w:val="00DC6450"/>
    <w:rsid w:val="00DC67D8"/>
    <w:rsid w:val="00DC72E5"/>
    <w:rsid w:val="00DC7C21"/>
    <w:rsid w:val="00DD0B2E"/>
    <w:rsid w:val="00DD1107"/>
    <w:rsid w:val="00DD3D6D"/>
    <w:rsid w:val="00DD48CD"/>
    <w:rsid w:val="00DD4A0C"/>
    <w:rsid w:val="00DD4AA8"/>
    <w:rsid w:val="00DD4DA7"/>
    <w:rsid w:val="00DD54FA"/>
    <w:rsid w:val="00DD6A42"/>
    <w:rsid w:val="00DD73F3"/>
    <w:rsid w:val="00DD78C6"/>
    <w:rsid w:val="00DD7F7F"/>
    <w:rsid w:val="00DE064D"/>
    <w:rsid w:val="00DE0F2D"/>
    <w:rsid w:val="00DE1BAA"/>
    <w:rsid w:val="00DE2292"/>
    <w:rsid w:val="00DE2368"/>
    <w:rsid w:val="00DE2655"/>
    <w:rsid w:val="00DE31A5"/>
    <w:rsid w:val="00DE37B8"/>
    <w:rsid w:val="00DE3DCB"/>
    <w:rsid w:val="00DE413E"/>
    <w:rsid w:val="00DE475C"/>
    <w:rsid w:val="00DE4CE0"/>
    <w:rsid w:val="00DE5255"/>
    <w:rsid w:val="00DE6630"/>
    <w:rsid w:val="00DE68B0"/>
    <w:rsid w:val="00DE71C5"/>
    <w:rsid w:val="00DE75C3"/>
    <w:rsid w:val="00DF087F"/>
    <w:rsid w:val="00DF089F"/>
    <w:rsid w:val="00DF1C4B"/>
    <w:rsid w:val="00DF3423"/>
    <w:rsid w:val="00DF3A56"/>
    <w:rsid w:val="00DF425C"/>
    <w:rsid w:val="00DF4974"/>
    <w:rsid w:val="00DF57D5"/>
    <w:rsid w:val="00DF59CD"/>
    <w:rsid w:val="00DF5A9B"/>
    <w:rsid w:val="00DF5ED8"/>
    <w:rsid w:val="00DF775D"/>
    <w:rsid w:val="00E007E6"/>
    <w:rsid w:val="00E0192A"/>
    <w:rsid w:val="00E032D9"/>
    <w:rsid w:val="00E035D2"/>
    <w:rsid w:val="00E04255"/>
    <w:rsid w:val="00E04B80"/>
    <w:rsid w:val="00E05036"/>
    <w:rsid w:val="00E05500"/>
    <w:rsid w:val="00E0580F"/>
    <w:rsid w:val="00E065F2"/>
    <w:rsid w:val="00E07FAD"/>
    <w:rsid w:val="00E10371"/>
    <w:rsid w:val="00E10697"/>
    <w:rsid w:val="00E11619"/>
    <w:rsid w:val="00E12781"/>
    <w:rsid w:val="00E12F7B"/>
    <w:rsid w:val="00E139EF"/>
    <w:rsid w:val="00E14E9B"/>
    <w:rsid w:val="00E17E58"/>
    <w:rsid w:val="00E20AA8"/>
    <w:rsid w:val="00E212D1"/>
    <w:rsid w:val="00E22084"/>
    <w:rsid w:val="00E2242A"/>
    <w:rsid w:val="00E23599"/>
    <w:rsid w:val="00E23964"/>
    <w:rsid w:val="00E24D66"/>
    <w:rsid w:val="00E24EDF"/>
    <w:rsid w:val="00E2540E"/>
    <w:rsid w:val="00E257F3"/>
    <w:rsid w:val="00E25CA9"/>
    <w:rsid w:val="00E26C15"/>
    <w:rsid w:val="00E26C5F"/>
    <w:rsid w:val="00E27504"/>
    <w:rsid w:val="00E2771D"/>
    <w:rsid w:val="00E301E8"/>
    <w:rsid w:val="00E30C81"/>
    <w:rsid w:val="00E30EEB"/>
    <w:rsid w:val="00E31B92"/>
    <w:rsid w:val="00E3246C"/>
    <w:rsid w:val="00E3274C"/>
    <w:rsid w:val="00E334AE"/>
    <w:rsid w:val="00E336BB"/>
    <w:rsid w:val="00E33881"/>
    <w:rsid w:val="00E3511D"/>
    <w:rsid w:val="00E363B5"/>
    <w:rsid w:val="00E36F43"/>
    <w:rsid w:val="00E3775B"/>
    <w:rsid w:val="00E3778E"/>
    <w:rsid w:val="00E37F87"/>
    <w:rsid w:val="00E40186"/>
    <w:rsid w:val="00E42046"/>
    <w:rsid w:val="00E42374"/>
    <w:rsid w:val="00E42D0E"/>
    <w:rsid w:val="00E42DD2"/>
    <w:rsid w:val="00E439A3"/>
    <w:rsid w:val="00E43A34"/>
    <w:rsid w:val="00E43B42"/>
    <w:rsid w:val="00E454EA"/>
    <w:rsid w:val="00E4583A"/>
    <w:rsid w:val="00E45A09"/>
    <w:rsid w:val="00E460A8"/>
    <w:rsid w:val="00E465DC"/>
    <w:rsid w:val="00E473E2"/>
    <w:rsid w:val="00E4749D"/>
    <w:rsid w:val="00E47A10"/>
    <w:rsid w:val="00E50BEA"/>
    <w:rsid w:val="00E5360D"/>
    <w:rsid w:val="00E55C64"/>
    <w:rsid w:val="00E6008F"/>
    <w:rsid w:val="00E6103E"/>
    <w:rsid w:val="00E61C0E"/>
    <w:rsid w:val="00E6375F"/>
    <w:rsid w:val="00E64D5C"/>
    <w:rsid w:val="00E651EA"/>
    <w:rsid w:val="00E65500"/>
    <w:rsid w:val="00E66CA0"/>
    <w:rsid w:val="00E675A7"/>
    <w:rsid w:val="00E72A34"/>
    <w:rsid w:val="00E7404C"/>
    <w:rsid w:val="00E74468"/>
    <w:rsid w:val="00E74BB0"/>
    <w:rsid w:val="00E74EC2"/>
    <w:rsid w:val="00E75527"/>
    <w:rsid w:val="00E756A0"/>
    <w:rsid w:val="00E75D2D"/>
    <w:rsid w:val="00E76E02"/>
    <w:rsid w:val="00E76ED0"/>
    <w:rsid w:val="00E7772E"/>
    <w:rsid w:val="00E77929"/>
    <w:rsid w:val="00E77E38"/>
    <w:rsid w:val="00E80C86"/>
    <w:rsid w:val="00E80D6E"/>
    <w:rsid w:val="00E811AA"/>
    <w:rsid w:val="00E8207F"/>
    <w:rsid w:val="00E85EBC"/>
    <w:rsid w:val="00E85F18"/>
    <w:rsid w:val="00E863B7"/>
    <w:rsid w:val="00E87335"/>
    <w:rsid w:val="00E875AC"/>
    <w:rsid w:val="00E87799"/>
    <w:rsid w:val="00E8794E"/>
    <w:rsid w:val="00E879B6"/>
    <w:rsid w:val="00E9015B"/>
    <w:rsid w:val="00E903C4"/>
    <w:rsid w:val="00E905CC"/>
    <w:rsid w:val="00E90BAE"/>
    <w:rsid w:val="00E90C62"/>
    <w:rsid w:val="00E90E57"/>
    <w:rsid w:val="00E916E6"/>
    <w:rsid w:val="00E91EBE"/>
    <w:rsid w:val="00E923E1"/>
    <w:rsid w:val="00E940A4"/>
    <w:rsid w:val="00E952F6"/>
    <w:rsid w:val="00E9576F"/>
    <w:rsid w:val="00E95B34"/>
    <w:rsid w:val="00E95CD5"/>
    <w:rsid w:val="00EA0301"/>
    <w:rsid w:val="00EA036D"/>
    <w:rsid w:val="00EA06DA"/>
    <w:rsid w:val="00EA0C65"/>
    <w:rsid w:val="00EA1482"/>
    <w:rsid w:val="00EA1934"/>
    <w:rsid w:val="00EA33AB"/>
    <w:rsid w:val="00EA3A49"/>
    <w:rsid w:val="00EA3ED6"/>
    <w:rsid w:val="00EA46B5"/>
    <w:rsid w:val="00EA4A43"/>
    <w:rsid w:val="00EA4C9A"/>
    <w:rsid w:val="00EA51EE"/>
    <w:rsid w:val="00EA532C"/>
    <w:rsid w:val="00EA53C0"/>
    <w:rsid w:val="00EA6078"/>
    <w:rsid w:val="00EA6D01"/>
    <w:rsid w:val="00EA6EA4"/>
    <w:rsid w:val="00EA7A15"/>
    <w:rsid w:val="00EA7D09"/>
    <w:rsid w:val="00EA7D66"/>
    <w:rsid w:val="00EB0433"/>
    <w:rsid w:val="00EB1157"/>
    <w:rsid w:val="00EB1889"/>
    <w:rsid w:val="00EB1AAA"/>
    <w:rsid w:val="00EB1C1C"/>
    <w:rsid w:val="00EB2296"/>
    <w:rsid w:val="00EB2538"/>
    <w:rsid w:val="00EB2F92"/>
    <w:rsid w:val="00EB3B4C"/>
    <w:rsid w:val="00EB3C19"/>
    <w:rsid w:val="00EB4863"/>
    <w:rsid w:val="00EB4B6D"/>
    <w:rsid w:val="00EB4E18"/>
    <w:rsid w:val="00EB5AD3"/>
    <w:rsid w:val="00EB73BC"/>
    <w:rsid w:val="00EB7FE2"/>
    <w:rsid w:val="00EC00CD"/>
    <w:rsid w:val="00EC01AC"/>
    <w:rsid w:val="00EC06E7"/>
    <w:rsid w:val="00EC08CC"/>
    <w:rsid w:val="00EC0CF4"/>
    <w:rsid w:val="00EC0E5B"/>
    <w:rsid w:val="00EC0F4A"/>
    <w:rsid w:val="00EC380C"/>
    <w:rsid w:val="00EC4302"/>
    <w:rsid w:val="00EC45C1"/>
    <w:rsid w:val="00EC45F6"/>
    <w:rsid w:val="00EC4964"/>
    <w:rsid w:val="00EC5A23"/>
    <w:rsid w:val="00EC6AEC"/>
    <w:rsid w:val="00ED0B1D"/>
    <w:rsid w:val="00ED0E12"/>
    <w:rsid w:val="00ED1093"/>
    <w:rsid w:val="00ED11C4"/>
    <w:rsid w:val="00ED28DD"/>
    <w:rsid w:val="00ED2CE9"/>
    <w:rsid w:val="00ED2E36"/>
    <w:rsid w:val="00ED3AD6"/>
    <w:rsid w:val="00ED4FDF"/>
    <w:rsid w:val="00ED5145"/>
    <w:rsid w:val="00ED583F"/>
    <w:rsid w:val="00ED5D5B"/>
    <w:rsid w:val="00ED6D51"/>
    <w:rsid w:val="00ED6FDF"/>
    <w:rsid w:val="00ED79CC"/>
    <w:rsid w:val="00ED7A93"/>
    <w:rsid w:val="00ED7EC9"/>
    <w:rsid w:val="00EE0764"/>
    <w:rsid w:val="00EE1306"/>
    <w:rsid w:val="00EE162A"/>
    <w:rsid w:val="00EE2026"/>
    <w:rsid w:val="00EE21E4"/>
    <w:rsid w:val="00EE3BC0"/>
    <w:rsid w:val="00EE3D9F"/>
    <w:rsid w:val="00EE4366"/>
    <w:rsid w:val="00EE47D0"/>
    <w:rsid w:val="00EE4960"/>
    <w:rsid w:val="00EE4D2B"/>
    <w:rsid w:val="00EE4FE3"/>
    <w:rsid w:val="00EE59AF"/>
    <w:rsid w:val="00EE5CE3"/>
    <w:rsid w:val="00EE60C6"/>
    <w:rsid w:val="00EE65AF"/>
    <w:rsid w:val="00EE6D8D"/>
    <w:rsid w:val="00EF00FB"/>
    <w:rsid w:val="00EF11CC"/>
    <w:rsid w:val="00EF1486"/>
    <w:rsid w:val="00EF1515"/>
    <w:rsid w:val="00EF2101"/>
    <w:rsid w:val="00EF28BA"/>
    <w:rsid w:val="00EF2C0D"/>
    <w:rsid w:val="00EF2E3E"/>
    <w:rsid w:val="00EF3922"/>
    <w:rsid w:val="00EF3927"/>
    <w:rsid w:val="00EF3B71"/>
    <w:rsid w:val="00EF3F22"/>
    <w:rsid w:val="00EF47A2"/>
    <w:rsid w:val="00EF5B02"/>
    <w:rsid w:val="00EF6572"/>
    <w:rsid w:val="00EF758A"/>
    <w:rsid w:val="00F00219"/>
    <w:rsid w:val="00F012A3"/>
    <w:rsid w:val="00F0165C"/>
    <w:rsid w:val="00F018DA"/>
    <w:rsid w:val="00F06675"/>
    <w:rsid w:val="00F06CB0"/>
    <w:rsid w:val="00F074B3"/>
    <w:rsid w:val="00F07640"/>
    <w:rsid w:val="00F07E30"/>
    <w:rsid w:val="00F10323"/>
    <w:rsid w:val="00F10383"/>
    <w:rsid w:val="00F1117C"/>
    <w:rsid w:val="00F112B3"/>
    <w:rsid w:val="00F12713"/>
    <w:rsid w:val="00F1403C"/>
    <w:rsid w:val="00F14D4B"/>
    <w:rsid w:val="00F16D04"/>
    <w:rsid w:val="00F171EB"/>
    <w:rsid w:val="00F17351"/>
    <w:rsid w:val="00F20B9A"/>
    <w:rsid w:val="00F20D2C"/>
    <w:rsid w:val="00F215B7"/>
    <w:rsid w:val="00F22E42"/>
    <w:rsid w:val="00F241C7"/>
    <w:rsid w:val="00F24298"/>
    <w:rsid w:val="00F24D7B"/>
    <w:rsid w:val="00F254D8"/>
    <w:rsid w:val="00F2629D"/>
    <w:rsid w:val="00F26320"/>
    <w:rsid w:val="00F27487"/>
    <w:rsid w:val="00F27B29"/>
    <w:rsid w:val="00F30104"/>
    <w:rsid w:val="00F30957"/>
    <w:rsid w:val="00F31A8F"/>
    <w:rsid w:val="00F33204"/>
    <w:rsid w:val="00F33327"/>
    <w:rsid w:val="00F33653"/>
    <w:rsid w:val="00F34276"/>
    <w:rsid w:val="00F343CE"/>
    <w:rsid w:val="00F354B7"/>
    <w:rsid w:val="00F365A7"/>
    <w:rsid w:val="00F37AC4"/>
    <w:rsid w:val="00F40A35"/>
    <w:rsid w:val="00F41FCD"/>
    <w:rsid w:val="00F4255D"/>
    <w:rsid w:val="00F42C16"/>
    <w:rsid w:val="00F44BAD"/>
    <w:rsid w:val="00F44D51"/>
    <w:rsid w:val="00F45651"/>
    <w:rsid w:val="00F45D1F"/>
    <w:rsid w:val="00F464D4"/>
    <w:rsid w:val="00F47C63"/>
    <w:rsid w:val="00F51059"/>
    <w:rsid w:val="00F51E6D"/>
    <w:rsid w:val="00F52347"/>
    <w:rsid w:val="00F523AD"/>
    <w:rsid w:val="00F523F6"/>
    <w:rsid w:val="00F5291E"/>
    <w:rsid w:val="00F532CD"/>
    <w:rsid w:val="00F536CA"/>
    <w:rsid w:val="00F53DD7"/>
    <w:rsid w:val="00F549BA"/>
    <w:rsid w:val="00F54F55"/>
    <w:rsid w:val="00F5572D"/>
    <w:rsid w:val="00F56A8B"/>
    <w:rsid w:val="00F56DA5"/>
    <w:rsid w:val="00F600B0"/>
    <w:rsid w:val="00F60108"/>
    <w:rsid w:val="00F601AB"/>
    <w:rsid w:val="00F604E7"/>
    <w:rsid w:val="00F621D4"/>
    <w:rsid w:val="00F6428B"/>
    <w:rsid w:val="00F64334"/>
    <w:rsid w:val="00F645B0"/>
    <w:rsid w:val="00F6468F"/>
    <w:rsid w:val="00F65321"/>
    <w:rsid w:val="00F66764"/>
    <w:rsid w:val="00F66827"/>
    <w:rsid w:val="00F674D2"/>
    <w:rsid w:val="00F70290"/>
    <w:rsid w:val="00F7041E"/>
    <w:rsid w:val="00F7047F"/>
    <w:rsid w:val="00F72511"/>
    <w:rsid w:val="00F73501"/>
    <w:rsid w:val="00F73CEB"/>
    <w:rsid w:val="00F74255"/>
    <w:rsid w:val="00F743FD"/>
    <w:rsid w:val="00F75100"/>
    <w:rsid w:val="00F76B2C"/>
    <w:rsid w:val="00F76DB5"/>
    <w:rsid w:val="00F7779B"/>
    <w:rsid w:val="00F777B1"/>
    <w:rsid w:val="00F803D9"/>
    <w:rsid w:val="00F8141A"/>
    <w:rsid w:val="00F81922"/>
    <w:rsid w:val="00F81A8C"/>
    <w:rsid w:val="00F81D25"/>
    <w:rsid w:val="00F8245E"/>
    <w:rsid w:val="00F827D7"/>
    <w:rsid w:val="00F837BD"/>
    <w:rsid w:val="00F839AC"/>
    <w:rsid w:val="00F83E6E"/>
    <w:rsid w:val="00F84286"/>
    <w:rsid w:val="00F85C3D"/>
    <w:rsid w:val="00F90211"/>
    <w:rsid w:val="00F9030F"/>
    <w:rsid w:val="00F90985"/>
    <w:rsid w:val="00F90C0C"/>
    <w:rsid w:val="00F90D11"/>
    <w:rsid w:val="00F91173"/>
    <w:rsid w:val="00F913AA"/>
    <w:rsid w:val="00F91425"/>
    <w:rsid w:val="00F91D2A"/>
    <w:rsid w:val="00F93EB2"/>
    <w:rsid w:val="00F947D0"/>
    <w:rsid w:val="00F95548"/>
    <w:rsid w:val="00F95CE4"/>
    <w:rsid w:val="00F95E14"/>
    <w:rsid w:val="00F9758E"/>
    <w:rsid w:val="00F9772D"/>
    <w:rsid w:val="00FA0850"/>
    <w:rsid w:val="00FA22FC"/>
    <w:rsid w:val="00FA2811"/>
    <w:rsid w:val="00FA2DA3"/>
    <w:rsid w:val="00FA3134"/>
    <w:rsid w:val="00FA40C4"/>
    <w:rsid w:val="00FA5155"/>
    <w:rsid w:val="00FA5FBD"/>
    <w:rsid w:val="00FA645E"/>
    <w:rsid w:val="00FA6523"/>
    <w:rsid w:val="00FA74F5"/>
    <w:rsid w:val="00FA7597"/>
    <w:rsid w:val="00FA7A89"/>
    <w:rsid w:val="00FB0EBF"/>
    <w:rsid w:val="00FB15C1"/>
    <w:rsid w:val="00FB1F68"/>
    <w:rsid w:val="00FB21F2"/>
    <w:rsid w:val="00FB2239"/>
    <w:rsid w:val="00FB26B6"/>
    <w:rsid w:val="00FB2D99"/>
    <w:rsid w:val="00FB44B1"/>
    <w:rsid w:val="00FB53F8"/>
    <w:rsid w:val="00FB7353"/>
    <w:rsid w:val="00FC0202"/>
    <w:rsid w:val="00FC026C"/>
    <w:rsid w:val="00FC0451"/>
    <w:rsid w:val="00FC0539"/>
    <w:rsid w:val="00FC1256"/>
    <w:rsid w:val="00FC163F"/>
    <w:rsid w:val="00FC17A2"/>
    <w:rsid w:val="00FC1836"/>
    <w:rsid w:val="00FC1837"/>
    <w:rsid w:val="00FC3404"/>
    <w:rsid w:val="00FC3C9F"/>
    <w:rsid w:val="00FC3E30"/>
    <w:rsid w:val="00FC44CB"/>
    <w:rsid w:val="00FC5034"/>
    <w:rsid w:val="00FC6A57"/>
    <w:rsid w:val="00FC70D3"/>
    <w:rsid w:val="00FC717A"/>
    <w:rsid w:val="00FC73EB"/>
    <w:rsid w:val="00FC7737"/>
    <w:rsid w:val="00FD05E1"/>
    <w:rsid w:val="00FD06CE"/>
    <w:rsid w:val="00FD1299"/>
    <w:rsid w:val="00FD30C8"/>
    <w:rsid w:val="00FD32E7"/>
    <w:rsid w:val="00FD3EE2"/>
    <w:rsid w:val="00FD4950"/>
    <w:rsid w:val="00FD53F1"/>
    <w:rsid w:val="00FD6FDE"/>
    <w:rsid w:val="00FD7872"/>
    <w:rsid w:val="00FE002C"/>
    <w:rsid w:val="00FE0211"/>
    <w:rsid w:val="00FE0404"/>
    <w:rsid w:val="00FE087B"/>
    <w:rsid w:val="00FE0F6B"/>
    <w:rsid w:val="00FE2131"/>
    <w:rsid w:val="00FE2E26"/>
    <w:rsid w:val="00FE356B"/>
    <w:rsid w:val="00FE3EA4"/>
    <w:rsid w:val="00FE4439"/>
    <w:rsid w:val="00FE472A"/>
    <w:rsid w:val="00FE4C1C"/>
    <w:rsid w:val="00FE54D2"/>
    <w:rsid w:val="00FE551F"/>
    <w:rsid w:val="00FE5AF2"/>
    <w:rsid w:val="00FE67AD"/>
    <w:rsid w:val="00FE7847"/>
    <w:rsid w:val="00FF0902"/>
    <w:rsid w:val="00FF10A5"/>
    <w:rsid w:val="00FF1545"/>
    <w:rsid w:val="00FF4065"/>
    <w:rsid w:val="00FF449B"/>
    <w:rsid w:val="00FF47DA"/>
    <w:rsid w:val="00FF4E92"/>
    <w:rsid w:val="00FF51D4"/>
    <w:rsid w:val="00FF5E5C"/>
    <w:rsid w:val="00FF65A0"/>
    <w:rsid w:val="00FF6F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F4575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D0C"/>
    <w:rPr>
      <w:rFonts w:ascii="Arial" w:hAnsi="Arial"/>
      <w:color w:val="404040" w:themeColor="text1" w:themeTint="BF"/>
      <w:sz w:val="22"/>
      <w:szCs w:val="24"/>
      <w:lang w:eastAsia="en-US"/>
    </w:rPr>
  </w:style>
  <w:style w:type="paragraph" w:styleId="Heading1">
    <w:name w:val="heading 1"/>
    <w:basedOn w:val="Normal"/>
    <w:next w:val="Normal"/>
    <w:link w:val="Heading1Char"/>
    <w:uiPriority w:val="9"/>
    <w:qFormat/>
    <w:rsid w:val="00B354A6"/>
    <w:pPr>
      <w:keepNext/>
      <w:keepLines/>
      <w:spacing w:before="240"/>
      <w:outlineLvl w:val="0"/>
    </w:pPr>
    <w:rPr>
      <w:rFonts w:eastAsiaTheme="majorEastAsia" w:cs="Arial"/>
      <w:b/>
      <w:bCs/>
      <w:color w:val="000000"/>
      <w:sz w:val="36"/>
      <w:szCs w:val="36"/>
    </w:rPr>
  </w:style>
  <w:style w:type="paragraph" w:styleId="Heading2">
    <w:name w:val="heading 2"/>
    <w:basedOn w:val="Normal"/>
    <w:next w:val="Normal"/>
    <w:link w:val="Heading2Char"/>
    <w:unhideWhenUsed/>
    <w:qFormat/>
    <w:rsid w:val="00AD685C"/>
    <w:pPr>
      <w:keepNext/>
      <w:keepLines/>
      <w:spacing w:before="40"/>
      <w:outlineLvl w:val="1"/>
    </w:pPr>
    <w:rPr>
      <w:rFonts w:eastAsiaTheme="majorEastAsia" w:cs="Arial"/>
      <w:b/>
      <w:caps/>
      <w:color w:val="FFFFFF" w:themeColor="background1"/>
      <w:sz w:val="28"/>
      <w:szCs w:val="28"/>
      <w:lang w:val="en-US"/>
    </w:rPr>
  </w:style>
  <w:style w:type="paragraph" w:styleId="Heading3">
    <w:name w:val="heading 3"/>
    <w:basedOn w:val="Normal"/>
    <w:next w:val="Normal"/>
    <w:link w:val="Heading3Char"/>
    <w:uiPriority w:val="9"/>
    <w:unhideWhenUsed/>
    <w:qFormat/>
    <w:rsid w:val="00AD685C"/>
    <w:pPr>
      <w:keepNext/>
      <w:keepLines/>
      <w:spacing w:before="40"/>
      <w:outlineLvl w:val="2"/>
    </w:pPr>
    <w:rPr>
      <w:rFonts w:eastAsiaTheme="majorEastAsia" w:cs="Arial"/>
      <w:b/>
      <w:caps/>
      <w:color w:val="000000"/>
      <w:szCs w:val="22"/>
      <w:lang w:val="en-US"/>
    </w:rPr>
  </w:style>
  <w:style w:type="paragraph" w:styleId="Heading4">
    <w:name w:val="heading 4"/>
    <w:basedOn w:val="Normal"/>
    <w:next w:val="Normal"/>
    <w:link w:val="Heading4Char"/>
    <w:semiHidden/>
    <w:unhideWhenUsed/>
    <w:qFormat/>
    <w:rsid w:val="00851D78"/>
    <w:pPr>
      <w:keepNext/>
      <w:tabs>
        <w:tab w:val="num" w:pos="2880"/>
      </w:tabs>
      <w:spacing w:before="240" w:after="60"/>
      <w:ind w:left="2880" w:hanging="720"/>
      <w:outlineLvl w:val="3"/>
    </w:pPr>
    <w:rPr>
      <w:rFonts w:asciiTheme="minorHAnsi" w:eastAsiaTheme="minorEastAsia" w:hAnsiTheme="minorHAnsi" w:cstheme="minorBidi"/>
      <w:b/>
      <w:bCs/>
      <w:color w:val="auto"/>
      <w:sz w:val="28"/>
      <w:szCs w:val="28"/>
      <w:lang w:val="en-US"/>
    </w:rPr>
  </w:style>
  <w:style w:type="paragraph" w:styleId="Heading5">
    <w:name w:val="heading 5"/>
    <w:aliases w:val="s"/>
    <w:basedOn w:val="Normal"/>
    <w:next w:val="Normal"/>
    <w:link w:val="Heading5Char"/>
    <w:semiHidden/>
    <w:unhideWhenUsed/>
    <w:qFormat/>
    <w:rsid w:val="00851D78"/>
    <w:pPr>
      <w:tabs>
        <w:tab w:val="num" w:pos="3600"/>
      </w:tabs>
      <w:spacing w:before="240" w:after="60"/>
      <w:ind w:left="3600" w:hanging="720"/>
      <w:outlineLvl w:val="4"/>
    </w:pPr>
    <w:rPr>
      <w:rFonts w:asciiTheme="minorHAnsi" w:eastAsiaTheme="minorEastAsia" w:hAnsiTheme="minorHAnsi" w:cstheme="minorBidi"/>
      <w:b/>
      <w:bCs/>
      <w:i/>
      <w:iCs/>
      <w:color w:val="auto"/>
      <w:sz w:val="26"/>
      <w:szCs w:val="26"/>
      <w:lang w:val="en-US"/>
    </w:rPr>
  </w:style>
  <w:style w:type="paragraph" w:styleId="Heading6">
    <w:name w:val="heading 6"/>
    <w:basedOn w:val="Normal"/>
    <w:next w:val="Normal"/>
    <w:link w:val="Heading6Char"/>
    <w:qFormat/>
    <w:rsid w:val="00851D78"/>
    <w:pPr>
      <w:tabs>
        <w:tab w:val="num" w:pos="4320"/>
      </w:tabs>
      <w:spacing w:before="240" w:after="60"/>
      <w:ind w:left="4320" w:hanging="720"/>
      <w:outlineLvl w:val="5"/>
    </w:pPr>
    <w:rPr>
      <w:rFonts w:ascii="Times New Roman" w:eastAsia="Times New Roman" w:hAnsi="Times New Roman"/>
      <w:b/>
      <w:bCs/>
      <w:color w:val="auto"/>
      <w:szCs w:val="22"/>
      <w:lang w:val="en-US"/>
    </w:rPr>
  </w:style>
  <w:style w:type="paragraph" w:styleId="Heading7">
    <w:name w:val="heading 7"/>
    <w:basedOn w:val="Normal"/>
    <w:next w:val="Normal"/>
    <w:link w:val="Heading7Char"/>
    <w:uiPriority w:val="9"/>
    <w:semiHidden/>
    <w:unhideWhenUsed/>
    <w:qFormat/>
    <w:rsid w:val="00851D78"/>
    <w:pPr>
      <w:tabs>
        <w:tab w:val="num" w:pos="5040"/>
      </w:tabs>
      <w:spacing w:before="240" w:after="60"/>
      <w:ind w:left="5040" w:hanging="720"/>
      <w:outlineLvl w:val="6"/>
    </w:pPr>
    <w:rPr>
      <w:rFonts w:asciiTheme="minorHAnsi" w:eastAsiaTheme="minorEastAsia" w:hAnsiTheme="minorHAnsi" w:cstheme="minorBidi"/>
      <w:color w:val="auto"/>
      <w:sz w:val="24"/>
      <w:lang w:val="en-US"/>
    </w:rPr>
  </w:style>
  <w:style w:type="paragraph" w:styleId="Heading8">
    <w:name w:val="heading 8"/>
    <w:basedOn w:val="Normal"/>
    <w:next w:val="Normal"/>
    <w:link w:val="Heading8Char"/>
    <w:uiPriority w:val="9"/>
    <w:semiHidden/>
    <w:unhideWhenUsed/>
    <w:qFormat/>
    <w:rsid w:val="00851D78"/>
    <w:pPr>
      <w:tabs>
        <w:tab w:val="num" w:pos="5760"/>
      </w:tabs>
      <w:spacing w:before="240" w:after="60"/>
      <w:ind w:left="5760" w:hanging="720"/>
      <w:outlineLvl w:val="7"/>
    </w:pPr>
    <w:rPr>
      <w:rFonts w:asciiTheme="minorHAnsi" w:eastAsiaTheme="minorEastAsia" w:hAnsiTheme="minorHAnsi" w:cstheme="minorBidi"/>
      <w:i/>
      <w:iCs/>
      <w:color w:val="auto"/>
      <w:sz w:val="24"/>
      <w:lang w:val="en-US"/>
    </w:rPr>
  </w:style>
  <w:style w:type="paragraph" w:styleId="Heading9">
    <w:name w:val="heading 9"/>
    <w:basedOn w:val="Normal"/>
    <w:next w:val="Normal"/>
    <w:link w:val="Heading9Char"/>
    <w:uiPriority w:val="9"/>
    <w:semiHidden/>
    <w:unhideWhenUsed/>
    <w:qFormat/>
    <w:rsid w:val="00851D78"/>
    <w:pPr>
      <w:tabs>
        <w:tab w:val="num" w:pos="6480"/>
      </w:tabs>
      <w:spacing w:before="240" w:after="60"/>
      <w:ind w:left="6480" w:hanging="720"/>
      <w:outlineLvl w:val="8"/>
    </w:pPr>
    <w:rPr>
      <w:rFonts w:asciiTheme="majorHAnsi" w:eastAsiaTheme="majorEastAsia" w:hAnsiTheme="majorHAnsi" w:cstheme="majorBidi"/>
      <w:color w:val="auto"/>
      <w:szCs w:val="22"/>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17E2"/>
    <w:pPr>
      <w:tabs>
        <w:tab w:val="center" w:pos="4513"/>
        <w:tab w:val="right" w:pos="9026"/>
      </w:tabs>
    </w:pPr>
  </w:style>
  <w:style w:type="character" w:customStyle="1" w:styleId="HeaderChar">
    <w:name w:val="Header Char"/>
    <w:basedOn w:val="DefaultParagraphFont"/>
    <w:link w:val="Header"/>
    <w:uiPriority w:val="99"/>
    <w:rsid w:val="009D17E2"/>
  </w:style>
  <w:style w:type="paragraph" w:styleId="Footer">
    <w:name w:val="footer"/>
    <w:basedOn w:val="Normal"/>
    <w:link w:val="FooterChar"/>
    <w:uiPriority w:val="99"/>
    <w:unhideWhenUsed/>
    <w:rsid w:val="009D17E2"/>
    <w:pPr>
      <w:tabs>
        <w:tab w:val="center" w:pos="4513"/>
        <w:tab w:val="right" w:pos="9026"/>
      </w:tabs>
    </w:pPr>
  </w:style>
  <w:style w:type="character" w:customStyle="1" w:styleId="FooterChar">
    <w:name w:val="Footer Char"/>
    <w:basedOn w:val="DefaultParagraphFont"/>
    <w:link w:val="Footer"/>
    <w:uiPriority w:val="99"/>
    <w:rsid w:val="009D17E2"/>
  </w:style>
  <w:style w:type="character" w:styleId="PageNumber">
    <w:name w:val="page number"/>
    <w:basedOn w:val="DefaultParagraphFont"/>
    <w:uiPriority w:val="99"/>
    <w:semiHidden/>
    <w:unhideWhenUsed/>
    <w:rsid w:val="009D2113"/>
  </w:style>
  <w:style w:type="paragraph" w:styleId="NoSpacing">
    <w:name w:val="No Spacing"/>
    <w:uiPriority w:val="1"/>
    <w:qFormat/>
    <w:rsid w:val="002617E2"/>
    <w:rPr>
      <w:sz w:val="24"/>
      <w:szCs w:val="24"/>
      <w:lang w:eastAsia="en-US"/>
    </w:rPr>
  </w:style>
  <w:style w:type="character" w:customStyle="1" w:styleId="Heading1Char">
    <w:name w:val="Heading 1 Char"/>
    <w:basedOn w:val="DefaultParagraphFont"/>
    <w:link w:val="Heading1"/>
    <w:uiPriority w:val="9"/>
    <w:rsid w:val="00B354A6"/>
    <w:rPr>
      <w:rFonts w:ascii="Arial" w:eastAsiaTheme="majorEastAsia" w:hAnsi="Arial" w:cs="Arial"/>
      <w:b/>
      <w:bCs/>
      <w:color w:val="000000"/>
      <w:sz w:val="36"/>
      <w:szCs w:val="36"/>
      <w:lang w:eastAsia="en-US"/>
    </w:rPr>
  </w:style>
  <w:style w:type="character" w:customStyle="1" w:styleId="Heading2Char">
    <w:name w:val="Heading 2 Char"/>
    <w:basedOn w:val="DefaultParagraphFont"/>
    <w:link w:val="Heading2"/>
    <w:uiPriority w:val="9"/>
    <w:rsid w:val="00AD685C"/>
    <w:rPr>
      <w:rFonts w:ascii="Arial" w:eastAsiaTheme="majorEastAsia" w:hAnsi="Arial" w:cs="Arial"/>
      <w:b/>
      <w:caps/>
      <w:color w:val="FFFFFF" w:themeColor="background1"/>
      <w:sz w:val="28"/>
      <w:szCs w:val="28"/>
      <w:lang w:val="en-US" w:eastAsia="en-US"/>
    </w:rPr>
  </w:style>
  <w:style w:type="character" w:customStyle="1" w:styleId="Heading3Char">
    <w:name w:val="Heading 3 Char"/>
    <w:basedOn w:val="DefaultParagraphFont"/>
    <w:link w:val="Heading3"/>
    <w:uiPriority w:val="9"/>
    <w:rsid w:val="00AD685C"/>
    <w:rPr>
      <w:rFonts w:ascii="Arial" w:eastAsiaTheme="majorEastAsia" w:hAnsi="Arial" w:cs="Arial"/>
      <w:b/>
      <w:caps/>
      <w:color w:val="000000"/>
      <w:sz w:val="22"/>
      <w:szCs w:val="22"/>
      <w:lang w:val="en-US" w:eastAsia="en-US"/>
    </w:rPr>
  </w:style>
  <w:style w:type="table" w:styleId="TableGrid">
    <w:name w:val="Table Grid"/>
    <w:basedOn w:val="TableNormal"/>
    <w:uiPriority w:val="39"/>
    <w:rsid w:val="00A557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851D78"/>
    <w:rPr>
      <w:rFonts w:asciiTheme="minorHAnsi" w:eastAsiaTheme="minorEastAsia" w:hAnsiTheme="minorHAnsi" w:cstheme="minorBidi"/>
      <w:b/>
      <w:bCs/>
      <w:sz w:val="28"/>
      <w:szCs w:val="28"/>
      <w:lang w:val="en-US" w:eastAsia="en-US"/>
    </w:rPr>
  </w:style>
  <w:style w:type="character" w:customStyle="1" w:styleId="Heading5Char">
    <w:name w:val="Heading 5 Char"/>
    <w:aliases w:val="s Char"/>
    <w:basedOn w:val="DefaultParagraphFont"/>
    <w:link w:val="Heading5"/>
    <w:semiHidden/>
    <w:rsid w:val="00851D78"/>
    <w:rPr>
      <w:rFonts w:asciiTheme="minorHAnsi" w:eastAsiaTheme="minorEastAsia" w:hAnsiTheme="minorHAnsi" w:cstheme="minorBidi"/>
      <w:b/>
      <w:bCs/>
      <w:i/>
      <w:iCs/>
      <w:sz w:val="26"/>
      <w:szCs w:val="26"/>
      <w:lang w:val="en-US" w:eastAsia="en-US"/>
    </w:rPr>
  </w:style>
  <w:style w:type="character" w:customStyle="1" w:styleId="Heading6Char">
    <w:name w:val="Heading 6 Char"/>
    <w:basedOn w:val="DefaultParagraphFont"/>
    <w:link w:val="Heading6"/>
    <w:rsid w:val="00851D78"/>
    <w:rPr>
      <w:rFonts w:ascii="Times New Roman" w:eastAsia="Times New Roman" w:hAnsi="Times New Roman"/>
      <w:b/>
      <w:bCs/>
      <w:sz w:val="22"/>
      <w:szCs w:val="22"/>
      <w:lang w:val="en-US" w:eastAsia="en-US"/>
    </w:rPr>
  </w:style>
  <w:style w:type="character" w:customStyle="1" w:styleId="Heading7Char">
    <w:name w:val="Heading 7 Char"/>
    <w:basedOn w:val="DefaultParagraphFont"/>
    <w:link w:val="Heading7"/>
    <w:uiPriority w:val="9"/>
    <w:semiHidden/>
    <w:rsid w:val="00851D78"/>
    <w:rPr>
      <w:rFonts w:asciiTheme="minorHAnsi" w:eastAsiaTheme="minorEastAsia" w:hAnsiTheme="minorHAnsi" w:cstheme="minorBidi"/>
      <w:sz w:val="24"/>
      <w:szCs w:val="24"/>
      <w:lang w:val="en-US" w:eastAsia="en-US"/>
    </w:rPr>
  </w:style>
  <w:style w:type="character" w:customStyle="1" w:styleId="Heading8Char">
    <w:name w:val="Heading 8 Char"/>
    <w:basedOn w:val="DefaultParagraphFont"/>
    <w:link w:val="Heading8"/>
    <w:uiPriority w:val="9"/>
    <w:semiHidden/>
    <w:rsid w:val="00851D78"/>
    <w:rPr>
      <w:rFonts w:asciiTheme="minorHAnsi" w:eastAsiaTheme="minorEastAsia" w:hAnsiTheme="minorHAnsi" w:cstheme="minorBidi"/>
      <w:i/>
      <w:iCs/>
      <w:sz w:val="24"/>
      <w:szCs w:val="24"/>
      <w:lang w:val="en-US" w:eastAsia="en-US"/>
    </w:rPr>
  </w:style>
  <w:style w:type="character" w:customStyle="1" w:styleId="Heading9Char">
    <w:name w:val="Heading 9 Char"/>
    <w:basedOn w:val="DefaultParagraphFont"/>
    <w:link w:val="Heading9"/>
    <w:uiPriority w:val="9"/>
    <w:semiHidden/>
    <w:rsid w:val="00851D78"/>
    <w:rPr>
      <w:rFonts w:asciiTheme="majorHAnsi" w:eastAsiaTheme="majorEastAsia" w:hAnsiTheme="majorHAnsi" w:cstheme="majorBidi"/>
      <w:sz w:val="22"/>
      <w:szCs w:val="22"/>
      <w:lang w:val="en-US" w:eastAsia="en-US"/>
    </w:rPr>
  </w:style>
  <w:style w:type="character" w:styleId="CommentReference">
    <w:name w:val="annotation reference"/>
    <w:basedOn w:val="DefaultParagraphFont"/>
    <w:uiPriority w:val="99"/>
    <w:semiHidden/>
    <w:unhideWhenUsed/>
    <w:rsid w:val="00851D78"/>
    <w:rPr>
      <w:sz w:val="16"/>
      <w:szCs w:val="16"/>
    </w:rPr>
  </w:style>
  <w:style w:type="paragraph" w:styleId="CommentText">
    <w:name w:val="annotation text"/>
    <w:basedOn w:val="Normal"/>
    <w:link w:val="CommentTextChar"/>
    <w:uiPriority w:val="99"/>
    <w:semiHidden/>
    <w:unhideWhenUsed/>
    <w:rsid w:val="00851D78"/>
    <w:rPr>
      <w:rFonts w:ascii="Times New Roman" w:eastAsia="Times New Roman" w:hAnsi="Times New Roman"/>
      <w:color w:val="auto"/>
      <w:sz w:val="20"/>
      <w:szCs w:val="20"/>
      <w:lang w:val="en-US"/>
    </w:rPr>
  </w:style>
  <w:style w:type="character" w:customStyle="1" w:styleId="CommentTextChar">
    <w:name w:val="Comment Text Char"/>
    <w:basedOn w:val="DefaultParagraphFont"/>
    <w:link w:val="CommentText"/>
    <w:uiPriority w:val="99"/>
    <w:semiHidden/>
    <w:rsid w:val="00851D78"/>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851D78"/>
    <w:rPr>
      <w:b/>
      <w:bCs/>
    </w:rPr>
  </w:style>
  <w:style w:type="character" w:customStyle="1" w:styleId="CommentSubjectChar">
    <w:name w:val="Comment Subject Char"/>
    <w:basedOn w:val="CommentTextChar"/>
    <w:link w:val="CommentSubject"/>
    <w:uiPriority w:val="99"/>
    <w:semiHidden/>
    <w:rsid w:val="00851D78"/>
    <w:rPr>
      <w:rFonts w:ascii="Times New Roman" w:eastAsia="Times New Roman" w:hAnsi="Times New Roman"/>
      <w:b/>
      <w:bCs/>
      <w:lang w:val="en-US" w:eastAsia="en-US"/>
    </w:rPr>
  </w:style>
  <w:style w:type="paragraph" w:styleId="BalloonText">
    <w:name w:val="Balloon Text"/>
    <w:basedOn w:val="Normal"/>
    <w:link w:val="BalloonTextChar"/>
    <w:uiPriority w:val="99"/>
    <w:semiHidden/>
    <w:unhideWhenUsed/>
    <w:rsid w:val="00851D78"/>
    <w:rPr>
      <w:rFonts w:ascii="Tahoma" w:eastAsia="Times New Roman" w:hAnsi="Tahoma" w:cs="Tahoma"/>
      <w:color w:val="auto"/>
      <w:sz w:val="16"/>
      <w:szCs w:val="16"/>
      <w:lang w:val="en-US"/>
    </w:rPr>
  </w:style>
  <w:style w:type="character" w:customStyle="1" w:styleId="BalloonTextChar">
    <w:name w:val="Balloon Text Char"/>
    <w:basedOn w:val="DefaultParagraphFont"/>
    <w:link w:val="BalloonText"/>
    <w:uiPriority w:val="99"/>
    <w:semiHidden/>
    <w:rsid w:val="00851D78"/>
    <w:rPr>
      <w:rFonts w:ascii="Tahoma" w:eastAsia="Times New Roman" w:hAnsi="Tahoma" w:cs="Tahoma"/>
      <w:sz w:val="16"/>
      <w:szCs w:val="16"/>
      <w:lang w:val="en-US" w:eastAsia="en-US"/>
    </w:rPr>
  </w:style>
  <w:style w:type="character" w:customStyle="1" w:styleId="fontstyle01">
    <w:name w:val="fontstyle01"/>
    <w:basedOn w:val="DefaultParagraphFont"/>
    <w:rsid w:val="00851D78"/>
    <w:rPr>
      <w:rFonts w:ascii="ArialMT" w:hAnsi="ArialMT" w:hint="default"/>
      <w:b w:val="0"/>
      <w:bCs w:val="0"/>
      <w:i w:val="0"/>
      <w:iCs w:val="0"/>
      <w:color w:val="000000"/>
      <w:sz w:val="22"/>
      <w:szCs w:val="22"/>
    </w:rPr>
  </w:style>
  <w:style w:type="character" w:customStyle="1" w:styleId="fontstyle21">
    <w:name w:val="fontstyle21"/>
    <w:basedOn w:val="DefaultParagraphFont"/>
    <w:rsid w:val="00851D78"/>
    <w:rPr>
      <w:rFonts w:ascii="Times" w:hAnsi="Times" w:hint="default"/>
      <w:b w:val="0"/>
      <w:bCs w:val="0"/>
      <w:i w:val="0"/>
      <w:iCs w:val="0"/>
      <w:color w:val="000000"/>
      <w:sz w:val="18"/>
      <w:szCs w:val="18"/>
    </w:rPr>
  </w:style>
  <w:style w:type="paragraph" w:styleId="Revision">
    <w:name w:val="Revision"/>
    <w:hidden/>
    <w:uiPriority w:val="99"/>
    <w:semiHidden/>
    <w:rsid w:val="00851D78"/>
    <w:rPr>
      <w:rFonts w:ascii="Times New Roman" w:eastAsia="Times New Roman" w:hAnsi="Times New Roman"/>
      <w:lang w:val="en-US" w:eastAsia="en-US"/>
    </w:rPr>
  </w:style>
  <w:style w:type="character" w:customStyle="1" w:styleId="fontstyle31">
    <w:name w:val="fontstyle31"/>
    <w:basedOn w:val="DefaultParagraphFont"/>
    <w:rsid w:val="00851D78"/>
    <w:rPr>
      <w:rFonts w:ascii="Arial" w:hAnsi="Arial" w:cs="Arial" w:hint="default"/>
      <w:b/>
      <w:bCs/>
      <w:i w:val="0"/>
      <w:iCs w:val="0"/>
      <w:color w:val="000000"/>
      <w:sz w:val="22"/>
      <w:szCs w:val="22"/>
    </w:rPr>
  </w:style>
  <w:style w:type="paragraph" w:styleId="ListParagraph">
    <w:name w:val="List Paragraph"/>
    <w:basedOn w:val="Normal"/>
    <w:uiPriority w:val="34"/>
    <w:qFormat/>
    <w:rsid w:val="00851D78"/>
    <w:pPr>
      <w:spacing w:after="160" w:line="259" w:lineRule="auto"/>
      <w:ind w:left="720"/>
      <w:contextualSpacing/>
    </w:pPr>
    <w:rPr>
      <w:rFonts w:cs="Arial"/>
      <w:color w:val="auto"/>
      <w:sz w:val="24"/>
      <w:lang w:val="en-ZA"/>
    </w:rPr>
  </w:style>
  <w:style w:type="paragraph" w:customStyle="1" w:styleId="TableParagraph">
    <w:name w:val="Table Paragraph"/>
    <w:basedOn w:val="Normal"/>
    <w:uiPriority w:val="1"/>
    <w:qFormat/>
    <w:rsid w:val="00851D78"/>
    <w:pPr>
      <w:widowControl w:val="0"/>
    </w:pPr>
    <w:rPr>
      <w:rFonts w:asciiTheme="minorHAnsi" w:eastAsiaTheme="minorHAnsi" w:hAnsiTheme="minorHAnsi" w:cstheme="minorBidi"/>
      <w:color w:val="auto"/>
      <w:szCs w:val="22"/>
      <w:lang w:val="en-US"/>
    </w:rPr>
  </w:style>
  <w:style w:type="paragraph" w:styleId="BodyText">
    <w:name w:val="Body Text"/>
    <w:basedOn w:val="Normal"/>
    <w:link w:val="BodyTextChar"/>
    <w:uiPriority w:val="99"/>
    <w:unhideWhenUsed/>
    <w:rsid w:val="00851D78"/>
    <w:pPr>
      <w:spacing w:after="120"/>
    </w:pPr>
    <w:rPr>
      <w:rFonts w:ascii="Times New Roman" w:eastAsia="Times New Roman" w:hAnsi="Times New Roman"/>
      <w:color w:val="auto"/>
      <w:sz w:val="20"/>
      <w:szCs w:val="20"/>
      <w:lang w:val="en-US"/>
    </w:rPr>
  </w:style>
  <w:style w:type="character" w:customStyle="1" w:styleId="BodyTextChar">
    <w:name w:val="Body Text Char"/>
    <w:basedOn w:val="DefaultParagraphFont"/>
    <w:link w:val="BodyText"/>
    <w:uiPriority w:val="99"/>
    <w:rsid w:val="00851D78"/>
    <w:rPr>
      <w:rFonts w:ascii="Times New Roman" w:eastAsia="Times New Roman" w:hAnsi="Times New Roman"/>
      <w:lang w:val="en-US" w:eastAsia="en-US"/>
    </w:rPr>
  </w:style>
  <w:style w:type="paragraph" w:customStyle="1" w:styleId="Default">
    <w:name w:val="Default"/>
    <w:rsid w:val="003A0027"/>
    <w:pPr>
      <w:autoSpaceDE w:val="0"/>
      <w:autoSpaceDN w:val="0"/>
      <w:adjustRightInd w:val="0"/>
    </w:pPr>
    <w:rPr>
      <w:rFonts w:ascii="Arial" w:hAnsi="Arial" w:cs="Arial"/>
      <w:color w:val="000000"/>
      <w:sz w:val="24"/>
      <w:szCs w:val="24"/>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0547504">
      <w:bodyDiv w:val="1"/>
      <w:marLeft w:val="0"/>
      <w:marRight w:val="0"/>
      <w:marTop w:val="0"/>
      <w:marBottom w:val="0"/>
      <w:divBdr>
        <w:top w:val="none" w:sz="0" w:space="0" w:color="auto"/>
        <w:left w:val="none" w:sz="0" w:space="0" w:color="auto"/>
        <w:bottom w:val="none" w:sz="0" w:space="0" w:color="auto"/>
        <w:right w:val="none" w:sz="0" w:space="0" w:color="auto"/>
      </w:divBdr>
    </w:div>
    <w:div w:id="18723023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EB9A2B9-E41C-487A-9734-24BB0C6C0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722</TotalTime>
  <Pages>26</Pages>
  <Words>6116</Words>
  <Characters>34865</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Celestine Ngulube</dc:creator>
  <cp:keywords/>
  <dc:description/>
  <cp:lastModifiedBy>Tyson</cp:lastModifiedBy>
  <cp:revision>1009</cp:revision>
  <cp:lastPrinted>2018-01-04T09:36:00Z</cp:lastPrinted>
  <dcterms:created xsi:type="dcterms:W3CDTF">2020-01-22T10:01:00Z</dcterms:created>
  <dcterms:modified xsi:type="dcterms:W3CDTF">2020-05-04T13:45:00Z</dcterms:modified>
</cp:coreProperties>
</file>